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19" w:rsidRDefault="00484719" w:rsidP="00484719">
      <w:pPr>
        <w:widowControl/>
      </w:pPr>
      <w:r>
        <w:rPr>
          <w:rFonts w:hint="eastAsia"/>
        </w:rPr>
        <w:t>附表</w:t>
      </w:r>
      <w:proofErr w:type="gramStart"/>
      <w:r>
        <w:rPr>
          <w:rFonts w:hint="eastAsia"/>
        </w:rPr>
        <w:t>一</w:t>
      </w:r>
      <w:proofErr w:type="gramEnd"/>
    </w:p>
    <w:p w:rsidR="00484719" w:rsidRDefault="00484719" w:rsidP="00484719">
      <w:pPr>
        <w:pStyle w:val="0-"/>
        <w:ind w:left="360" w:hanging="360"/>
        <w:rPr>
          <w:sz w:val="18"/>
          <w:szCs w:val="18"/>
        </w:rPr>
      </w:pPr>
    </w:p>
    <w:p w:rsidR="00484719" w:rsidRDefault="00484719" w:rsidP="00484719">
      <w:pPr>
        <w:pStyle w:val="0-"/>
        <w:spacing w:afterLines="50" w:after="180"/>
        <w:ind w:left="440" w:hanging="440"/>
        <w:jc w:val="center"/>
        <w:rPr>
          <w:b/>
          <w:sz w:val="22"/>
        </w:rPr>
      </w:pPr>
      <w:r w:rsidRPr="00FF1D2E">
        <w:rPr>
          <w:rFonts w:hint="eastAsia"/>
          <w:b/>
          <w:sz w:val="22"/>
        </w:rPr>
        <w:t>建築物工程技術服務建造費用百分比上限參考表</w:t>
      </w:r>
    </w:p>
    <w:tbl>
      <w:tblPr>
        <w:tblStyle w:val="a3"/>
        <w:tblW w:w="49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2"/>
        <w:gridCol w:w="1195"/>
        <w:gridCol w:w="869"/>
        <w:gridCol w:w="1380"/>
        <w:gridCol w:w="1380"/>
        <w:gridCol w:w="1098"/>
        <w:gridCol w:w="1664"/>
      </w:tblGrid>
      <w:tr w:rsidR="00484719" w:rsidRPr="00D23612" w:rsidTr="003D7099">
        <w:trPr>
          <w:jc w:val="center"/>
        </w:trPr>
        <w:tc>
          <w:tcPr>
            <w:tcW w:w="1548" w:type="dxa"/>
            <w:gridSpan w:val="2"/>
            <w:vMerge w:val="restart"/>
            <w:vAlign w:val="center"/>
          </w:tcPr>
          <w:p w:rsidR="00484719" w:rsidRPr="00D23612" w:rsidRDefault="00484719" w:rsidP="003D7099">
            <w:pPr>
              <w:pStyle w:val="0-"/>
              <w:spacing w:line="240" w:lineRule="auto"/>
              <w:ind w:left="0" w:firstLineChars="0" w:firstLine="0"/>
              <w:jc w:val="center"/>
              <w:rPr>
                <w:rFonts w:ascii="新細明體" w:eastAsia="新細明體" w:hAnsi="新細明體"/>
                <w:color w:val="FF0000"/>
                <w:sz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</w:rPr>
              <w:t>建造費用</w:t>
            </w:r>
          </w:p>
          <w:p w:rsidR="00484719" w:rsidRPr="00D23612" w:rsidRDefault="00484719" w:rsidP="003D7099">
            <w:pPr>
              <w:pStyle w:val="0-"/>
              <w:spacing w:line="240" w:lineRule="auto"/>
              <w:ind w:left="0" w:firstLineChars="0" w:firstLine="0"/>
              <w:jc w:val="center"/>
              <w:rPr>
                <w:rFonts w:ascii="新細明體" w:eastAsia="新細明體" w:hAnsi="新細明體"/>
                <w:color w:val="FF0000"/>
                <w:sz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</w:rPr>
              <w:t>（新臺幣）</w:t>
            </w:r>
          </w:p>
        </w:tc>
        <w:tc>
          <w:tcPr>
            <w:tcW w:w="5243" w:type="dxa"/>
            <w:gridSpan w:val="5"/>
            <w:vAlign w:val="center"/>
          </w:tcPr>
          <w:p w:rsidR="00484719" w:rsidRPr="00D23612" w:rsidRDefault="00484719" w:rsidP="003D7099">
            <w:pPr>
              <w:pStyle w:val="0-"/>
              <w:spacing w:line="240" w:lineRule="auto"/>
              <w:ind w:left="0" w:firstLineChars="0" w:firstLine="0"/>
              <w:jc w:val="center"/>
              <w:rPr>
                <w:rFonts w:ascii="新細明體" w:eastAsia="新細明體" w:hAnsi="新細明體"/>
                <w:color w:val="FF0000"/>
                <w:sz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</w:rPr>
              <w:t>服務費用百分比上限參考（％）</w:t>
            </w:r>
          </w:p>
        </w:tc>
      </w:tr>
      <w:tr w:rsidR="00484719" w:rsidRPr="00D23612" w:rsidTr="003D7099">
        <w:trPr>
          <w:jc w:val="center"/>
        </w:trPr>
        <w:tc>
          <w:tcPr>
            <w:tcW w:w="1548" w:type="dxa"/>
            <w:gridSpan w:val="2"/>
            <w:vMerge/>
            <w:vAlign w:val="center"/>
          </w:tcPr>
          <w:p w:rsidR="00484719" w:rsidRPr="00D23612" w:rsidRDefault="00484719" w:rsidP="003D7099">
            <w:pPr>
              <w:pStyle w:val="0-"/>
              <w:spacing w:line="240" w:lineRule="auto"/>
              <w:ind w:left="0" w:firstLineChars="0" w:firstLine="0"/>
              <w:jc w:val="center"/>
              <w:rPr>
                <w:rFonts w:ascii="新細明體" w:eastAsia="新細明體" w:hAnsi="新細明體"/>
                <w:color w:val="FF0000"/>
                <w:sz w:val="16"/>
              </w:rPr>
            </w:pPr>
          </w:p>
        </w:tc>
        <w:tc>
          <w:tcPr>
            <w:tcW w:w="713" w:type="dxa"/>
            <w:vAlign w:val="center"/>
          </w:tcPr>
          <w:p w:rsidR="00484719" w:rsidRPr="00D23612" w:rsidRDefault="00484719" w:rsidP="003D7099">
            <w:pPr>
              <w:pStyle w:val="0-"/>
              <w:spacing w:line="240" w:lineRule="auto"/>
              <w:ind w:left="0" w:firstLineChars="0" w:firstLine="0"/>
              <w:jc w:val="center"/>
              <w:rPr>
                <w:rFonts w:ascii="新細明體" w:eastAsia="新細明體" w:hAnsi="新細明體"/>
                <w:b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</w:rPr>
              <w:t>第一類</w:t>
            </w:r>
          </w:p>
        </w:tc>
        <w:tc>
          <w:tcPr>
            <w:tcW w:w="1132" w:type="dxa"/>
            <w:vAlign w:val="center"/>
          </w:tcPr>
          <w:p w:rsidR="00484719" w:rsidRPr="00D23612" w:rsidRDefault="00484719" w:rsidP="003D7099">
            <w:pPr>
              <w:pStyle w:val="0-"/>
              <w:spacing w:line="240" w:lineRule="auto"/>
              <w:ind w:left="0" w:firstLineChars="0" w:firstLine="0"/>
              <w:jc w:val="center"/>
              <w:rPr>
                <w:rFonts w:ascii="新細明體" w:eastAsia="新細明體" w:hAnsi="新細明體"/>
                <w:b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</w:rPr>
              <w:t>第二類</w:t>
            </w:r>
          </w:p>
        </w:tc>
        <w:tc>
          <w:tcPr>
            <w:tcW w:w="1132" w:type="dxa"/>
            <w:vAlign w:val="center"/>
          </w:tcPr>
          <w:p w:rsidR="00484719" w:rsidRPr="00D23612" w:rsidRDefault="00484719" w:rsidP="003D7099">
            <w:pPr>
              <w:pStyle w:val="0-"/>
              <w:spacing w:line="240" w:lineRule="auto"/>
              <w:ind w:left="0" w:firstLineChars="0" w:firstLine="0"/>
              <w:jc w:val="center"/>
              <w:rPr>
                <w:rFonts w:ascii="新細明體" w:eastAsia="新細明體" w:hAnsi="新細明體"/>
                <w:b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</w:rPr>
              <w:t>第三類</w:t>
            </w:r>
          </w:p>
        </w:tc>
        <w:tc>
          <w:tcPr>
            <w:tcW w:w="901" w:type="dxa"/>
            <w:vAlign w:val="center"/>
          </w:tcPr>
          <w:p w:rsidR="00484719" w:rsidRPr="00D23612" w:rsidRDefault="00484719" w:rsidP="003D7099">
            <w:pPr>
              <w:pStyle w:val="0-"/>
              <w:spacing w:line="240" w:lineRule="auto"/>
              <w:ind w:left="0" w:firstLineChars="0" w:firstLine="0"/>
              <w:jc w:val="center"/>
              <w:rPr>
                <w:rFonts w:ascii="新細明體" w:eastAsia="新細明體" w:hAnsi="新細明體"/>
                <w:b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</w:rPr>
              <w:t>第四類</w:t>
            </w:r>
          </w:p>
        </w:tc>
        <w:tc>
          <w:tcPr>
            <w:tcW w:w="1365" w:type="dxa"/>
            <w:vAlign w:val="center"/>
          </w:tcPr>
          <w:p w:rsidR="00484719" w:rsidRPr="00D23612" w:rsidRDefault="00484719" w:rsidP="003D7099">
            <w:pPr>
              <w:pStyle w:val="0-"/>
              <w:spacing w:line="240" w:lineRule="auto"/>
              <w:ind w:left="0" w:firstLineChars="0" w:firstLine="0"/>
              <w:jc w:val="center"/>
              <w:rPr>
                <w:rFonts w:ascii="新細明體" w:eastAsia="新細明體" w:hAnsi="新細明體"/>
                <w:b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</w:rPr>
              <w:t>第五類</w:t>
            </w:r>
          </w:p>
        </w:tc>
      </w:tr>
      <w:tr w:rsidR="00484719" w:rsidRPr="00D23612" w:rsidTr="003D7099">
        <w:trPr>
          <w:jc w:val="center"/>
        </w:trPr>
        <w:tc>
          <w:tcPr>
            <w:tcW w:w="1548" w:type="dxa"/>
            <w:gridSpan w:val="2"/>
            <w:vAlign w:val="center"/>
          </w:tcPr>
          <w:p w:rsidR="00484719" w:rsidRPr="00D23612" w:rsidRDefault="00484719" w:rsidP="003D7099">
            <w:pPr>
              <w:pStyle w:val="0-"/>
              <w:spacing w:line="240" w:lineRule="auto"/>
              <w:ind w:left="0" w:firstLineChars="0" w:firstLine="0"/>
              <w:jc w:val="center"/>
              <w:rPr>
                <w:rFonts w:ascii="新細明體" w:eastAsia="新細明體" w:hAnsi="新細明體"/>
                <w:b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</w:rPr>
              <w:t>五百萬元以下部分</w:t>
            </w:r>
          </w:p>
        </w:tc>
        <w:tc>
          <w:tcPr>
            <w:tcW w:w="713" w:type="dxa"/>
            <w:vAlign w:val="center"/>
          </w:tcPr>
          <w:p w:rsidR="00484719" w:rsidRPr="00D23612" w:rsidRDefault="00484719" w:rsidP="003D7099">
            <w:pPr>
              <w:pStyle w:val="Default"/>
              <w:jc w:val="center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八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‧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六</w:t>
            </w:r>
          </w:p>
        </w:tc>
        <w:tc>
          <w:tcPr>
            <w:tcW w:w="1132" w:type="dxa"/>
            <w:vAlign w:val="center"/>
          </w:tcPr>
          <w:p w:rsidR="00484719" w:rsidRPr="00D23612" w:rsidRDefault="00484719" w:rsidP="003D7099">
            <w:pPr>
              <w:pStyle w:val="Default"/>
              <w:jc w:val="center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九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‧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三</w:t>
            </w:r>
          </w:p>
        </w:tc>
        <w:tc>
          <w:tcPr>
            <w:tcW w:w="1132" w:type="dxa"/>
            <w:vAlign w:val="center"/>
          </w:tcPr>
          <w:p w:rsidR="00484719" w:rsidRPr="00D23612" w:rsidRDefault="00484719" w:rsidP="003D7099">
            <w:pPr>
              <w:pStyle w:val="Default"/>
              <w:jc w:val="center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九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‧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八</w:t>
            </w:r>
          </w:p>
        </w:tc>
        <w:tc>
          <w:tcPr>
            <w:tcW w:w="901" w:type="dxa"/>
            <w:vAlign w:val="center"/>
          </w:tcPr>
          <w:p w:rsidR="00484719" w:rsidRPr="00D23612" w:rsidRDefault="00484719" w:rsidP="003D7099">
            <w:pPr>
              <w:pStyle w:val="Default"/>
              <w:jc w:val="center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十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‧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五</w:t>
            </w:r>
          </w:p>
        </w:tc>
        <w:tc>
          <w:tcPr>
            <w:tcW w:w="1365" w:type="dxa"/>
            <w:vMerge w:val="restart"/>
            <w:vAlign w:val="center"/>
          </w:tcPr>
          <w:p w:rsidR="00484719" w:rsidRPr="00D23612" w:rsidRDefault="00484719" w:rsidP="003D7099">
            <w:pPr>
              <w:pStyle w:val="0-"/>
              <w:spacing w:line="240" w:lineRule="auto"/>
              <w:ind w:left="0" w:firstLineChars="0" w:firstLine="0"/>
              <w:rPr>
                <w:rFonts w:ascii="新細明體" w:eastAsia="新細明體" w:hAnsi="新細明體"/>
                <w:b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</w:rPr>
              <w:t>比照服務成本加公費法編列，或比照第四類辦理。</w:t>
            </w:r>
          </w:p>
        </w:tc>
      </w:tr>
      <w:tr w:rsidR="00484719" w:rsidRPr="00D23612" w:rsidTr="003D7099">
        <w:trPr>
          <w:jc w:val="center"/>
        </w:trPr>
        <w:tc>
          <w:tcPr>
            <w:tcW w:w="1548" w:type="dxa"/>
            <w:gridSpan w:val="2"/>
          </w:tcPr>
          <w:p w:rsidR="00484719" w:rsidRPr="00D23612" w:rsidRDefault="00484719" w:rsidP="003D7099">
            <w:pPr>
              <w:pStyle w:val="Default"/>
              <w:jc w:val="both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超過五百萬元至一千萬元部分</w:t>
            </w:r>
            <w:r w:rsidRPr="00D23612">
              <w:rPr>
                <w:rFonts w:ascii="新細明體" w:eastAsia="新細明體" w:hAnsi="新細明體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:rsidR="00484719" w:rsidRPr="00D23612" w:rsidRDefault="00484719" w:rsidP="003D7099">
            <w:pPr>
              <w:pStyle w:val="Default"/>
              <w:jc w:val="center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八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‧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０</w:t>
            </w:r>
          </w:p>
        </w:tc>
        <w:tc>
          <w:tcPr>
            <w:tcW w:w="1132" w:type="dxa"/>
            <w:vAlign w:val="center"/>
          </w:tcPr>
          <w:p w:rsidR="00484719" w:rsidRPr="00D23612" w:rsidRDefault="00484719" w:rsidP="003D7099">
            <w:pPr>
              <w:pStyle w:val="Default"/>
              <w:jc w:val="center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八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‧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七</w:t>
            </w:r>
          </w:p>
        </w:tc>
        <w:tc>
          <w:tcPr>
            <w:tcW w:w="1132" w:type="dxa"/>
            <w:vAlign w:val="center"/>
          </w:tcPr>
          <w:p w:rsidR="00484719" w:rsidRPr="00D23612" w:rsidRDefault="00484719" w:rsidP="003D7099">
            <w:pPr>
              <w:pStyle w:val="Default"/>
              <w:jc w:val="center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九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‧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三</w:t>
            </w:r>
          </w:p>
        </w:tc>
        <w:tc>
          <w:tcPr>
            <w:tcW w:w="901" w:type="dxa"/>
            <w:vAlign w:val="center"/>
          </w:tcPr>
          <w:p w:rsidR="00484719" w:rsidRPr="00D23612" w:rsidRDefault="00484719" w:rsidP="003D7099">
            <w:pPr>
              <w:pStyle w:val="Default"/>
              <w:jc w:val="center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十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‧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０</w:t>
            </w:r>
          </w:p>
        </w:tc>
        <w:tc>
          <w:tcPr>
            <w:tcW w:w="1365" w:type="dxa"/>
            <w:vMerge/>
            <w:vAlign w:val="center"/>
          </w:tcPr>
          <w:p w:rsidR="00484719" w:rsidRPr="00D23612" w:rsidRDefault="00484719" w:rsidP="003D7099">
            <w:pPr>
              <w:pStyle w:val="0-"/>
              <w:spacing w:line="240" w:lineRule="auto"/>
              <w:ind w:left="0" w:firstLineChars="0" w:firstLine="0"/>
              <w:jc w:val="center"/>
              <w:rPr>
                <w:rFonts w:ascii="新細明體" w:eastAsia="新細明體" w:hAnsi="新細明體"/>
                <w:b/>
                <w:color w:val="FF0000"/>
                <w:sz w:val="16"/>
                <w:szCs w:val="16"/>
              </w:rPr>
            </w:pPr>
          </w:p>
        </w:tc>
      </w:tr>
      <w:tr w:rsidR="00484719" w:rsidRPr="00D23612" w:rsidTr="003D7099">
        <w:trPr>
          <w:jc w:val="center"/>
        </w:trPr>
        <w:tc>
          <w:tcPr>
            <w:tcW w:w="1548" w:type="dxa"/>
            <w:gridSpan w:val="2"/>
          </w:tcPr>
          <w:p w:rsidR="00484719" w:rsidRPr="00D23612" w:rsidRDefault="00484719" w:rsidP="003D7099">
            <w:pPr>
              <w:pStyle w:val="Default"/>
              <w:jc w:val="both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超過一千萬元至五千萬元部分</w:t>
            </w:r>
            <w:r w:rsidRPr="00D23612">
              <w:rPr>
                <w:rFonts w:ascii="新細明體" w:eastAsia="新細明體" w:hAnsi="新細明體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:rsidR="00484719" w:rsidRPr="00D23612" w:rsidRDefault="00484719" w:rsidP="003D7099">
            <w:pPr>
              <w:pStyle w:val="Default"/>
              <w:jc w:val="center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六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‧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九</w:t>
            </w:r>
          </w:p>
        </w:tc>
        <w:tc>
          <w:tcPr>
            <w:tcW w:w="1132" w:type="dxa"/>
            <w:vAlign w:val="center"/>
          </w:tcPr>
          <w:p w:rsidR="00484719" w:rsidRPr="00D23612" w:rsidRDefault="00484719" w:rsidP="003D7099">
            <w:pPr>
              <w:pStyle w:val="Default"/>
              <w:jc w:val="center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七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‧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六</w:t>
            </w:r>
          </w:p>
        </w:tc>
        <w:tc>
          <w:tcPr>
            <w:tcW w:w="1132" w:type="dxa"/>
            <w:vAlign w:val="center"/>
          </w:tcPr>
          <w:p w:rsidR="00484719" w:rsidRPr="00D23612" w:rsidRDefault="00484719" w:rsidP="003D7099">
            <w:pPr>
              <w:pStyle w:val="Default"/>
              <w:jc w:val="center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八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‧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二</w:t>
            </w:r>
          </w:p>
        </w:tc>
        <w:tc>
          <w:tcPr>
            <w:tcW w:w="901" w:type="dxa"/>
            <w:vAlign w:val="center"/>
          </w:tcPr>
          <w:p w:rsidR="00484719" w:rsidRPr="00D23612" w:rsidRDefault="00484719" w:rsidP="003D7099">
            <w:pPr>
              <w:pStyle w:val="Default"/>
              <w:jc w:val="center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八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‧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九</w:t>
            </w:r>
          </w:p>
        </w:tc>
        <w:tc>
          <w:tcPr>
            <w:tcW w:w="1365" w:type="dxa"/>
            <w:vMerge/>
            <w:vAlign w:val="center"/>
          </w:tcPr>
          <w:p w:rsidR="00484719" w:rsidRPr="00D23612" w:rsidRDefault="00484719" w:rsidP="003D7099">
            <w:pPr>
              <w:pStyle w:val="0-"/>
              <w:spacing w:line="240" w:lineRule="auto"/>
              <w:ind w:left="0" w:firstLineChars="0" w:firstLine="0"/>
              <w:jc w:val="center"/>
              <w:rPr>
                <w:rFonts w:ascii="新細明體" w:eastAsia="新細明體" w:hAnsi="新細明體"/>
                <w:b/>
                <w:color w:val="FF0000"/>
                <w:sz w:val="16"/>
                <w:szCs w:val="16"/>
              </w:rPr>
            </w:pPr>
          </w:p>
        </w:tc>
      </w:tr>
      <w:tr w:rsidR="00484719" w:rsidRPr="00D23612" w:rsidTr="003D7099">
        <w:trPr>
          <w:jc w:val="center"/>
        </w:trPr>
        <w:tc>
          <w:tcPr>
            <w:tcW w:w="1548" w:type="dxa"/>
            <w:gridSpan w:val="2"/>
          </w:tcPr>
          <w:p w:rsidR="00484719" w:rsidRPr="00D23612" w:rsidRDefault="00484719" w:rsidP="003D7099">
            <w:pPr>
              <w:pStyle w:val="Default"/>
              <w:jc w:val="both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超過五千萬元至一億元部分</w:t>
            </w:r>
            <w:r w:rsidRPr="00D23612">
              <w:rPr>
                <w:rFonts w:ascii="新細明體" w:eastAsia="新細明體" w:hAnsi="新細明體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:rsidR="00484719" w:rsidRPr="00D23612" w:rsidRDefault="00484719" w:rsidP="003D7099">
            <w:pPr>
              <w:pStyle w:val="Default"/>
              <w:jc w:val="center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五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‧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八</w:t>
            </w:r>
          </w:p>
        </w:tc>
        <w:tc>
          <w:tcPr>
            <w:tcW w:w="1132" w:type="dxa"/>
            <w:vAlign w:val="center"/>
          </w:tcPr>
          <w:p w:rsidR="00484719" w:rsidRPr="00D23612" w:rsidRDefault="00484719" w:rsidP="003D7099">
            <w:pPr>
              <w:pStyle w:val="Default"/>
              <w:jc w:val="center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六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‧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四</w:t>
            </w:r>
          </w:p>
        </w:tc>
        <w:tc>
          <w:tcPr>
            <w:tcW w:w="1132" w:type="dxa"/>
            <w:vAlign w:val="center"/>
          </w:tcPr>
          <w:p w:rsidR="00484719" w:rsidRPr="00D23612" w:rsidRDefault="00484719" w:rsidP="003D7099">
            <w:pPr>
              <w:pStyle w:val="Default"/>
              <w:jc w:val="center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七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‧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０</w:t>
            </w:r>
          </w:p>
        </w:tc>
        <w:tc>
          <w:tcPr>
            <w:tcW w:w="901" w:type="dxa"/>
            <w:vAlign w:val="center"/>
          </w:tcPr>
          <w:p w:rsidR="00484719" w:rsidRPr="00D23612" w:rsidRDefault="00484719" w:rsidP="003D7099">
            <w:pPr>
              <w:pStyle w:val="Default"/>
              <w:jc w:val="center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七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‧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六</w:t>
            </w:r>
          </w:p>
        </w:tc>
        <w:tc>
          <w:tcPr>
            <w:tcW w:w="1365" w:type="dxa"/>
            <w:vMerge/>
            <w:vAlign w:val="center"/>
          </w:tcPr>
          <w:p w:rsidR="00484719" w:rsidRPr="00D23612" w:rsidRDefault="00484719" w:rsidP="003D7099">
            <w:pPr>
              <w:pStyle w:val="0-"/>
              <w:spacing w:line="240" w:lineRule="auto"/>
              <w:ind w:left="0" w:firstLineChars="0" w:firstLine="0"/>
              <w:jc w:val="center"/>
              <w:rPr>
                <w:rFonts w:ascii="新細明體" w:eastAsia="新細明體" w:hAnsi="新細明體"/>
                <w:b/>
                <w:color w:val="FF0000"/>
                <w:sz w:val="16"/>
                <w:szCs w:val="16"/>
              </w:rPr>
            </w:pPr>
          </w:p>
        </w:tc>
      </w:tr>
      <w:tr w:rsidR="00484719" w:rsidRPr="00D23612" w:rsidTr="003D7099">
        <w:trPr>
          <w:jc w:val="center"/>
        </w:trPr>
        <w:tc>
          <w:tcPr>
            <w:tcW w:w="1548" w:type="dxa"/>
            <w:gridSpan w:val="2"/>
          </w:tcPr>
          <w:p w:rsidR="00484719" w:rsidRPr="00D23612" w:rsidRDefault="00484719" w:rsidP="003D7099">
            <w:pPr>
              <w:pStyle w:val="Default"/>
              <w:jc w:val="both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超過一億元至五億元部分</w:t>
            </w:r>
            <w:r w:rsidRPr="00D23612">
              <w:rPr>
                <w:rFonts w:ascii="新細明體" w:eastAsia="新細明體" w:hAnsi="新細明體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:rsidR="00484719" w:rsidRPr="00D23612" w:rsidRDefault="00484719" w:rsidP="003D7099">
            <w:pPr>
              <w:pStyle w:val="Default"/>
              <w:jc w:val="center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四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‧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六</w:t>
            </w:r>
          </w:p>
        </w:tc>
        <w:tc>
          <w:tcPr>
            <w:tcW w:w="1132" w:type="dxa"/>
            <w:vAlign w:val="center"/>
          </w:tcPr>
          <w:p w:rsidR="00484719" w:rsidRPr="00D23612" w:rsidRDefault="00484719" w:rsidP="003D7099">
            <w:pPr>
              <w:pStyle w:val="Default"/>
              <w:jc w:val="center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五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‧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二</w:t>
            </w:r>
          </w:p>
        </w:tc>
        <w:tc>
          <w:tcPr>
            <w:tcW w:w="1132" w:type="dxa"/>
            <w:vAlign w:val="center"/>
          </w:tcPr>
          <w:p w:rsidR="00484719" w:rsidRPr="00D23612" w:rsidRDefault="00484719" w:rsidP="003D7099">
            <w:pPr>
              <w:pStyle w:val="Default"/>
              <w:jc w:val="center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五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‧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八</w:t>
            </w:r>
          </w:p>
        </w:tc>
        <w:tc>
          <w:tcPr>
            <w:tcW w:w="901" w:type="dxa"/>
            <w:vAlign w:val="center"/>
          </w:tcPr>
          <w:p w:rsidR="00484719" w:rsidRPr="00D23612" w:rsidRDefault="00484719" w:rsidP="003D7099">
            <w:pPr>
              <w:pStyle w:val="Default"/>
              <w:jc w:val="center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六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‧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四</w:t>
            </w:r>
          </w:p>
        </w:tc>
        <w:tc>
          <w:tcPr>
            <w:tcW w:w="1365" w:type="dxa"/>
            <w:vMerge/>
            <w:vAlign w:val="center"/>
          </w:tcPr>
          <w:p w:rsidR="00484719" w:rsidRPr="00D23612" w:rsidRDefault="00484719" w:rsidP="003D7099">
            <w:pPr>
              <w:pStyle w:val="0-"/>
              <w:spacing w:line="240" w:lineRule="auto"/>
              <w:ind w:left="0" w:firstLineChars="0" w:firstLine="0"/>
              <w:jc w:val="center"/>
              <w:rPr>
                <w:rFonts w:ascii="新細明體" w:eastAsia="新細明體" w:hAnsi="新細明體"/>
                <w:b/>
                <w:color w:val="FF0000"/>
                <w:sz w:val="16"/>
                <w:szCs w:val="16"/>
              </w:rPr>
            </w:pPr>
          </w:p>
        </w:tc>
      </w:tr>
      <w:tr w:rsidR="00484719" w:rsidRPr="00D23612" w:rsidTr="003D7099">
        <w:trPr>
          <w:jc w:val="center"/>
        </w:trPr>
        <w:tc>
          <w:tcPr>
            <w:tcW w:w="1548" w:type="dxa"/>
            <w:gridSpan w:val="2"/>
          </w:tcPr>
          <w:p w:rsidR="00484719" w:rsidRPr="00D23612" w:rsidRDefault="00484719" w:rsidP="003D7099">
            <w:pPr>
              <w:pStyle w:val="Default"/>
              <w:jc w:val="both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超過五億元部分</w:t>
            </w:r>
            <w:r w:rsidRPr="00D23612">
              <w:rPr>
                <w:rFonts w:ascii="新細明體" w:eastAsia="新細明體" w:hAnsi="新細明體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713" w:type="dxa"/>
            <w:vAlign w:val="center"/>
          </w:tcPr>
          <w:p w:rsidR="00484719" w:rsidRPr="00D23612" w:rsidRDefault="00484719" w:rsidP="003D7099">
            <w:pPr>
              <w:pStyle w:val="Default"/>
              <w:jc w:val="center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三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‧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七</w:t>
            </w:r>
          </w:p>
        </w:tc>
        <w:tc>
          <w:tcPr>
            <w:tcW w:w="1132" w:type="dxa"/>
            <w:vAlign w:val="center"/>
          </w:tcPr>
          <w:p w:rsidR="00484719" w:rsidRPr="00D23612" w:rsidRDefault="00484719" w:rsidP="003D7099">
            <w:pPr>
              <w:pStyle w:val="Default"/>
              <w:jc w:val="center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四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‧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三</w:t>
            </w:r>
          </w:p>
        </w:tc>
        <w:tc>
          <w:tcPr>
            <w:tcW w:w="1132" w:type="dxa"/>
            <w:vAlign w:val="center"/>
          </w:tcPr>
          <w:p w:rsidR="00484719" w:rsidRPr="00D23612" w:rsidRDefault="00484719" w:rsidP="003D7099">
            <w:pPr>
              <w:pStyle w:val="Default"/>
              <w:jc w:val="center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五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‧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０</w:t>
            </w:r>
          </w:p>
        </w:tc>
        <w:tc>
          <w:tcPr>
            <w:tcW w:w="901" w:type="dxa"/>
            <w:vAlign w:val="center"/>
          </w:tcPr>
          <w:p w:rsidR="00484719" w:rsidRPr="00D23612" w:rsidRDefault="00484719" w:rsidP="003D7099">
            <w:pPr>
              <w:pStyle w:val="Default"/>
              <w:jc w:val="center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五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‧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六</w:t>
            </w:r>
          </w:p>
        </w:tc>
        <w:tc>
          <w:tcPr>
            <w:tcW w:w="1365" w:type="dxa"/>
            <w:vMerge/>
            <w:vAlign w:val="center"/>
          </w:tcPr>
          <w:p w:rsidR="00484719" w:rsidRPr="00D23612" w:rsidRDefault="00484719" w:rsidP="003D7099">
            <w:pPr>
              <w:pStyle w:val="0-"/>
              <w:spacing w:line="240" w:lineRule="auto"/>
              <w:ind w:left="0" w:firstLineChars="0" w:firstLine="0"/>
              <w:jc w:val="center"/>
              <w:rPr>
                <w:rFonts w:ascii="新細明體" w:eastAsia="新細明體" w:hAnsi="新細明體"/>
                <w:b/>
                <w:color w:val="FF0000"/>
                <w:sz w:val="16"/>
                <w:szCs w:val="16"/>
              </w:rPr>
            </w:pPr>
          </w:p>
        </w:tc>
      </w:tr>
      <w:tr w:rsidR="00484719" w:rsidRPr="00D23612" w:rsidTr="003D7099">
        <w:trPr>
          <w:jc w:val="center"/>
        </w:trPr>
        <w:tc>
          <w:tcPr>
            <w:tcW w:w="568" w:type="dxa"/>
          </w:tcPr>
          <w:p w:rsidR="00484719" w:rsidRPr="00D23612" w:rsidRDefault="00484719" w:rsidP="003D7099">
            <w:pPr>
              <w:pBdr>
                <w:top w:val="single" w:sz="6" w:space="1" w:color="auto"/>
              </w:pBdr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第一類</w:t>
            </w:r>
          </w:p>
        </w:tc>
        <w:tc>
          <w:tcPr>
            <w:tcW w:w="6223" w:type="dxa"/>
            <w:gridSpan w:val="6"/>
          </w:tcPr>
          <w:p w:rsidR="00484719" w:rsidRPr="00D23612" w:rsidRDefault="00484719" w:rsidP="003D7099">
            <w:pPr>
              <w:pBdr>
                <w:top w:val="single" w:sz="6" w:space="1" w:color="auto"/>
              </w:pBdr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五層以下之辦公室、教室、宿舍、國民住宅、幼兒園、倉庫或農漁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畜牧棚舍等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及其他類似建築物暨雜項工作物。</w:t>
            </w:r>
          </w:p>
        </w:tc>
      </w:tr>
      <w:tr w:rsidR="00484719" w:rsidRPr="00D23612" w:rsidTr="003D7099">
        <w:trPr>
          <w:jc w:val="center"/>
        </w:trPr>
        <w:tc>
          <w:tcPr>
            <w:tcW w:w="568" w:type="dxa"/>
          </w:tcPr>
          <w:p w:rsidR="00484719" w:rsidRPr="00D23612" w:rsidRDefault="00484719" w:rsidP="003D7099">
            <w:pPr>
              <w:pBdr>
                <w:top w:val="single" w:sz="6" w:space="1" w:color="auto"/>
              </w:pBdr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</w:p>
          <w:p w:rsidR="00484719" w:rsidRPr="00D23612" w:rsidRDefault="00484719" w:rsidP="003D7099">
            <w:pPr>
              <w:pBdr>
                <w:top w:val="single" w:sz="6" w:space="1" w:color="auto"/>
              </w:pBdr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第二類</w:t>
            </w:r>
          </w:p>
        </w:tc>
        <w:tc>
          <w:tcPr>
            <w:tcW w:w="6223" w:type="dxa"/>
            <w:gridSpan w:val="6"/>
          </w:tcPr>
          <w:p w:rsidR="00484719" w:rsidRPr="00D23612" w:rsidRDefault="00484719" w:rsidP="003D7099">
            <w:pPr>
              <w:pBdr>
                <w:top w:val="single" w:sz="6" w:space="1" w:color="auto"/>
              </w:pBdr>
              <w:ind w:left="454" w:hanging="454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一、四層以下之普通實驗室、實習工場、溫室、陳列室、市場、育樂中心、禮堂、俱樂部、餐廳、診所、視廳教室、殯葬設施、冷凍庫、加油站或停車建築物等及其他類似建築物。</w:t>
            </w:r>
          </w:p>
          <w:p w:rsidR="00484719" w:rsidRPr="00D23612" w:rsidRDefault="00484719" w:rsidP="003D7099">
            <w:pPr>
              <w:pBdr>
                <w:top w:val="single" w:sz="6" w:space="1" w:color="auto"/>
              </w:pBdr>
              <w:ind w:left="567" w:hanging="567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二、游泳池、運動場或靶場。</w:t>
            </w:r>
          </w:p>
          <w:p w:rsidR="00484719" w:rsidRPr="00D23612" w:rsidRDefault="00484719" w:rsidP="003D7099">
            <w:pPr>
              <w:pBdr>
                <w:top w:val="single" w:sz="6" w:space="1" w:color="auto"/>
              </w:pBdr>
              <w:ind w:left="567" w:hanging="567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三、六層至十二層之第一類用途建築物。</w:t>
            </w:r>
          </w:p>
        </w:tc>
      </w:tr>
      <w:tr w:rsidR="00484719" w:rsidRPr="00D23612" w:rsidTr="003D7099">
        <w:trPr>
          <w:jc w:val="center"/>
        </w:trPr>
        <w:tc>
          <w:tcPr>
            <w:tcW w:w="568" w:type="dxa"/>
          </w:tcPr>
          <w:p w:rsidR="00484719" w:rsidRPr="00D23612" w:rsidRDefault="00484719" w:rsidP="003D7099">
            <w:pPr>
              <w:pBdr>
                <w:top w:val="single" w:sz="6" w:space="1" w:color="auto"/>
              </w:pBdr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</w:p>
          <w:p w:rsidR="00484719" w:rsidRPr="00D23612" w:rsidRDefault="00484719" w:rsidP="003D7099">
            <w:pPr>
              <w:pBdr>
                <w:top w:val="single" w:sz="6" w:space="1" w:color="auto"/>
              </w:pBdr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第三類</w:t>
            </w:r>
          </w:p>
        </w:tc>
        <w:tc>
          <w:tcPr>
            <w:tcW w:w="6223" w:type="dxa"/>
            <w:gridSpan w:val="6"/>
          </w:tcPr>
          <w:p w:rsidR="00484719" w:rsidRPr="00D23612" w:rsidRDefault="00484719" w:rsidP="003D7099">
            <w:pPr>
              <w:pBdr>
                <w:top w:val="single" w:sz="6" w:space="1" w:color="auto"/>
              </w:pBdr>
              <w:ind w:left="454" w:hanging="454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一、圖書館、研究實驗室、體育館、競技場、工業廠房、戲院、電影院、天文台、美術館、藝術館、博物館、科學館、水族館、展示場、廣播及電視台、監獄或看守所等及其他類似之建築物。</w:t>
            </w:r>
          </w:p>
          <w:p w:rsidR="00484719" w:rsidRPr="00D23612" w:rsidRDefault="00484719" w:rsidP="003D7099">
            <w:pPr>
              <w:pBdr>
                <w:top w:val="single" w:sz="6" w:space="1" w:color="auto"/>
              </w:pBdr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二、十三層以上之第一類用途建築物。</w:t>
            </w:r>
          </w:p>
          <w:p w:rsidR="00484719" w:rsidRPr="00D23612" w:rsidRDefault="00484719" w:rsidP="003D7099">
            <w:pPr>
              <w:pBdr>
                <w:top w:val="single" w:sz="6" w:space="1" w:color="auto"/>
              </w:pBdr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三、第二類第一項用途之建築物其樓層超過四層者。</w:t>
            </w:r>
          </w:p>
        </w:tc>
      </w:tr>
      <w:tr w:rsidR="00484719" w:rsidRPr="00D23612" w:rsidTr="003D7099">
        <w:trPr>
          <w:jc w:val="center"/>
        </w:trPr>
        <w:tc>
          <w:tcPr>
            <w:tcW w:w="568" w:type="dxa"/>
          </w:tcPr>
          <w:p w:rsidR="00484719" w:rsidRPr="00D23612" w:rsidRDefault="00484719" w:rsidP="003D7099">
            <w:pPr>
              <w:pBdr>
                <w:top w:val="single" w:sz="6" w:space="1" w:color="auto"/>
              </w:pBdr>
              <w:rPr>
                <w:rFonts w:ascii="新細明體" w:eastAsia="新細明體" w:hAnsi="新細明體"/>
                <w:color w:val="FF0000"/>
                <w:spacing w:val="-2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pacing w:val="-20"/>
                <w:sz w:val="16"/>
                <w:szCs w:val="16"/>
              </w:rPr>
              <w:t>第四類</w:t>
            </w:r>
          </w:p>
        </w:tc>
        <w:tc>
          <w:tcPr>
            <w:tcW w:w="6223" w:type="dxa"/>
            <w:gridSpan w:val="6"/>
          </w:tcPr>
          <w:p w:rsidR="00484719" w:rsidRPr="00D23612" w:rsidRDefault="00484719" w:rsidP="003D7099">
            <w:pPr>
              <w:pBdr>
                <w:top w:val="single" w:sz="6" w:space="1" w:color="auto"/>
              </w:pBdr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航空站、旅館、音樂廳、劇場、歌劇院、醫院、忠烈祠、孔廟、寺廟或紀念性建築物及其他類似之建築物。</w:t>
            </w:r>
          </w:p>
        </w:tc>
      </w:tr>
      <w:tr w:rsidR="00484719" w:rsidRPr="00D23612" w:rsidTr="003D7099">
        <w:trPr>
          <w:jc w:val="center"/>
        </w:trPr>
        <w:tc>
          <w:tcPr>
            <w:tcW w:w="568" w:type="dxa"/>
          </w:tcPr>
          <w:p w:rsidR="00484719" w:rsidRPr="00D23612" w:rsidRDefault="00484719" w:rsidP="003D7099">
            <w:pPr>
              <w:pBdr>
                <w:top w:val="single" w:sz="6" w:space="1" w:color="auto"/>
              </w:pBdr>
              <w:rPr>
                <w:rFonts w:ascii="新細明體" w:eastAsia="新細明體" w:hAnsi="新細明體"/>
                <w:color w:val="FF0000"/>
                <w:spacing w:val="-2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第五類</w:t>
            </w:r>
          </w:p>
        </w:tc>
        <w:tc>
          <w:tcPr>
            <w:tcW w:w="6223" w:type="dxa"/>
            <w:gridSpan w:val="6"/>
          </w:tcPr>
          <w:p w:rsidR="00484719" w:rsidRPr="00D23612" w:rsidRDefault="00484719" w:rsidP="00484719">
            <w:pPr>
              <w:pStyle w:val="2"/>
              <w:numPr>
                <w:ilvl w:val="0"/>
                <w:numId w:val="1"/>
              </w:numPr>
              <w:tabs>
                <w:tab w:val="clear" w:pos="567"/>
                <w:tab w:val="num" w:pos="322"/>
              </w:tabs>
              <w:spacing w:after="0" w:line="240" w:lineRule="auto"/>
              <w:ind w:leftChars="0"/>
              <w:jc w:val="both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歷史性建築之工程。</w:t>
            </w:r>
          </w:p>
          <w:p w:rsidR="00484719" w:rsidRPr="00D23612" w:rsidRDefault="00484719" w:rsidP="00484719">
            <w:pPr>
              <w:pStyle w:val="2"/>
              <w:numPr>
                <w:ilvl w:val="0"/>
                <w:numId w:val="1"/>
              </w:numPr>
              <w:tabs>
                <w:tab w:val="clear" w:pos="567"/>
                <w:tab w:val="num" w:pos="322"/>
              </w:tabs>
              <w:spacing w:after="0" w:line="240" w:lineRule="auto"/>
              <w:ind w:leftChars="0"/>
              <w:jc w:val="both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其他建築工程之環境規劃設計業務，如社區、校園或山坡地開發、許可等。</w:t>
            </w:r>
          </w:p>
        </w:tc>
      </w:tr>
      <w:tr w:rsidR="00484719" w:rsidRPr="00D23612" w:rsidTr="003D7099">
        <w:trPr>
          <w:jc w:val="center"/>
        </w:trPr>
        <w:tc>
          <w:tcPr>
            <w:tcW w:w="568" w:type="dxa"/>
          </w:tcPr>
          <w:p w:rsidR="00484719" w:rsidRPr="00D23612" w:rsidRDefault="00484719" w:rsidP="003D7099">
            <w:pPr>
              <w:pBdr>
                <w:top w:val="single" w:sz="6" w:space="1" w:color="auto"/>
              </w:pBdr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附註</w:t>
            </w:r>
          </w:p>
        </w:tc>
        <w:tc>
          <w:tcPr>
            <w:tcW w:w="6223" w:type="dxa"/>
            <w:gridSpan w:val="6"/>
          </w:tcPr>
          <w:p w:rsidR="00484719" w:rsidRPr="00D23612" w:rsidRDefault="00484719" w:rsidP="00484719">
            <w:pPr>
              <w:pStyle w:val="2"/>
              <w:numPr>
                <w:ilvl w:val="0"/>
                <w:numId w:val="2"/>
              </w:numPr>
              <w:pBdr>
                <w:top w:val="single" w:sz="6" w:space="1" w:color="auto"/>
              </w:pBdr>
              <w:tabs>
                <w:tab w:val="clear" w:pos="567"/>
                <w:tab w:val="num" w:pos="336"/>
              </w:tabs>
              <w:spacing w:after="0" w:line="240" w:lineRule="auto"/>
              <w:ind w:leftChars="0" w:left="322" w:hanging="322"/>
              <w:jc w:val="both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本表所列服務費用包括規劃、設計及監造三項，原則上規劃占</w:t>
            </w:r>
            <w:r w:rsidRPr="00FD7A05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百分之十，設計占百分之四十五，</w:t>
            </w:r>
            <w:proofErr w:type="gramStart"/>
            <w:r w:rsidRPr="00FD7A05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監造占百分之四十五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。但機關得視個案特性及實際需要調整該百分比之組成</w:t>
            </w:r>
            <w:r w:rsidRPr="00FD7A05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。</w:t>
            </w:r>
          </w:p>
          <w:p w:rsidR="00484719" w:rsidRPr="00D23612" w:rsidRDefault="00484719" w:rsidP="00484719">
            <w:pPr>
              <w:pStyle w:val="2"/>
              <w:numPr>
                <w:ilvl w:val="0"/>
                <w:numId w:val="2"/>
              </w:numPr>
              <w:pBdr>
                <w:top w:val="single" w:sz="6" w:space="1" w:color="auto"/>
              </w:pBdr>
              <w:tabs>
                <w:tab w:val="clear" w:pos="567"/>
                <w:tab w:val="num" w:pos="322"/>
              </w:tabs>
              <w:spacing w:after="0" w:line="240" w:lineRule="auto"/>
              <w:ind w:leftChars="0" w:left="322" w:hanging="322"/>
              <w:jc w:val="both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建築師依法律規定須交由結構、電機或冷凍空調等技師或消防設備師辦理之工程所需費用，包含於本表所列設計監造服務費用內，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不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另給付。</w:t>
            </w:r>
          </w:p>
          <w:p w:rsidR="00484719" w:rsidRPr="00D23612" w:rsidRDefault="00484719" w:rsidP="00484719">
            <w:pPr>
              <w:pStyle w:val="2"/>
              <w:numPr>
                <w:ilvl w:val="0"/>
                <w:numId w:val="2"/>
              </w:numPr>
              <w:pBdr>
                <w:top w:val="single" w:sz="6" w:space="1" w:color="auto"/>
              </w:pBdr>
              <w:tabs>
                <w:tab w:val="clear" w:pos="567"/>
                <w:tab w:val="num" w:pos="322"/>
              </w:tabs>
              <w:spacing w:after="0" w:line="240" w:lineRule="auto"/>
              <w:ind w:leftChars="0" w:left="322" w:hanging="322"/>
              <w:jc w:val="both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本表所列服務費用占建造費用之百分比，應按金額級距分段計算，並為編列預算之參考基準。</w:t>
            </w:r>
          </w:p>
          <w:p w:rsidR="00484719" w:rsidRPr="00D23612" w:rsidRDefault="00484719" w:rsidP="00484719">
            <w:pPr>
              <w:pStyle w:val="2"/>
              <w:numPr>
                <w:ilvl w:val="0"/>
                <w:numId w:val="2"/>
              </w:numPr>
              <w:pBdr>
                <w:top w:val="single" w:sz="6" w:space="1" w:color="auto"/>
              </w:pBdr>
              <w:tabs>
                <w:tab w:val="clear" w:pos="567"/>
                <w:tab w:val="num" w:pos="322"/>
              </w:tabs>
              <w:spacing w:after="0" w:line="240" w:lineRule="auto"/>
              <w:ind w:leftChars="0" w:left="322" w:hanging="322"/>
              <w:jc w:val="both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同幢建築物用途分屬二類以上者，依各該用途樓地板面積所占比率依其服務費率分別計算。</w:t>
            </w:r>
          </w:p>
          <w:p w:rsidR="00484719" w:rsidRPr="00D23612" w:rsidRDefault="00484719" w:rsidP="00484719">
            <w:pPr>
              <w:pStyle w:val="2"/>
              <w:numPr>
                <w:ilvl w:val="0"/>
                <w:numId w:val="2"/>
              </w:numPr>
              <w:tabs>
                <w:tab w:val="clear" w:pos="567"/>
                <w:tab w:val="num" w:pos="322"/>
              </w:tabs>
              <w:spacing w:after="0" w:line="240" w:lineRule="auto"/>
              <w:ind w:leftChars="0" w:left="322" w:hanging="322"/>
              <w:jc w:val="both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同一建築基地內，有二幢以上之建築物採用同一設計圖說者，其設計服務費用，得依下列方式計算：</w:t>
            </w:r>
            <w:r w:rsidRPr="00D23612">
              <w:rPr>
                <w:rFonts w:ascii="新細明體" w:eastAsia="新細明體" w:hAnsi="新細明體"/>
                <w:color w:val="FF0000"/>
                <w:sz w:val="16"/>
                <w:szCs w:val="16"/>
              </w:rPr>
              <w:cr/>
              <w:t xml:space="preserve"> F = A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＊</w:t>
            </w:r>
            <w:proofErr w:type="gramEnd"/>
            <w:r w:rsidRPr="00D23612">
              <w:rPr>
                <w:rFonts w:ascii="新細明體" w:eastAsia="新細明體" w:hAnsi="新細明體"/>
                <w:color w:val="FF0000"/>
                <w:sz w:val="16"/>
                <w:szCs w:val="16"/>
              </w:rPr>
              <w:t>R{0.75(1</w:t>
            </w: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＋</w:t>
            </w:r>
            <w:r w:rsidRPr="00D23612">
              <w:rPr>
                <w:rFonts w:ascii="新細明體" w:eastAsia="新細明體" w:hAnsi="新細明體"/>
                <w:color w:val="FF0000"/>
                <w:sz w:val="16"/>
                <w:szCs w:val="16"/>
              </w:rPr>
              <w:t>1/2</w:t>
            </w: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＋</w:t>
            </w:r>
            <w:r w:rsidRPr="00D23612">
              <w:rPr>
                <w:rFonts w:ascii="新細明體" w:eastAsia="新細明體" w:hAnsi="新細明體"/>
                <w:color w:val="FF0000"/>
                <w:sz w:val="16"/>
                <w:szCs w:val="16"/>
              </w:rPr>
              <w:t>1/3</w:t>
            </w: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…＋</w:t>
            </w:r>
            <w:r w:rsidRPr="00D23612">
              <w:rPr>
                <w:rFonts w:ascii="新細明體" w:eastAsia="新細明體" w:hAnsi="新細明體"/>
                <w:color w:val="FF0000"/>
                <w:sz w:val="16"/>
                <w:szCs w:val="16"/>
              </w:rPr>
              <w:t>1/N)</w:t>
            </w: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＋</w:t>
            </w:r>
            <w:r w:rsidRPr="00D23612">
              <w:rPr>
                <w:rFonts w:ascii="新細明體" w:eastAsia="新細明體" w:hAnsi="新細明體"/>
                <w:color w:val="FF0000"/>
                <w:sz w:val="16"/>
                <w:szCs w:val="16"/>
              </w:rPr>
              <w:t>0.25N}</w:t>
            </w:r>
            <w:r w:rsidRPr="00D23612">
              <w:rPr>
                <w:rFonts w:ascii="新細明體" w:eastAsia="新細明體" w:hAnsi="新細明體"/>
                <w:color w:val="FF0000"/>
                <w:sz w:val="16"/>
                <w:szCs w:val="16"/>
              </w:rPr>
              <w:cr/>
              <w:t xml:space="preserve">  </w:t>
            </w: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 xml:space="preserve">　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上式中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：</w:t>
            </w:r>
          </w:p>
          <w:p w:rsidR="00484719" w:rsidRPr="00D23612" w:rsidRDefault="00484719" w:rsidP="003D7099">
            <w:pPr>
              <w:pStyle w:val="2"/>
              <w:spacing w:after="0" w:line="240" w:lineRule="auto"/>
              <w:ind w:leftChars="0" w:left="322"/>
              <w:jc w:val="both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lastRenderedPageBreak/>
              <w:t xml:space="preserve"> 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Ｆ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：設計服務費。</w:t>
            </w:r>
            <w:r w:rsidRPr="00D23612">
              <w:rPr>
                <w:rFonts w:ascii="新細明體" w:eastAsia="新細明體" w:hAnsi="新細明體"/>
                <w:color w:val="FF0000"/>
                <w:sz w:val="16"/>
                <w:szCs w:val="16"/>
              </w:rPr>
              <w:cr/>
            </w:r>
            <w:r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 xml:space="preserve"> 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Ａ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：一幢建築物之建造費用。</w:t>
            </w:r>
            <w:r w:rsidRPr="00D23612">
              <w:rPr>
                <w:rFonts w:ascii="新細明體" w:eastAsia="新細明體" w:hAnsi="新細明體"/>
                <w:color w:val="FF0000"/>
                <w:sz w:val="16"/>
                <w:szCs w:val="16"/>
              </w:rPr>
              <w:cr/>
            </w:r>
            <w:r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 xml:space="preserve"> 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Ｒ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：服務費率。</w:t>
            </w:r>
          </w:p>
          <w:p w:rsidR="00484719" w:rsidRPr="00D23612" w:rsidRDefault="00484719" w:rsidP="003D7099">
            <w:pPr>
              <w:pStyle w:val="2"/>
              <w:spacing w:after="0" w:line="240" w:lineRule="auto"/>
              <w:ind w:leftChars="0" w:left="322"/>
              <w:jc w:val="both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 xml:space="preserve"> 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Ｎ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：相同設計圖說之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建築物幢數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。</w:t>
            </w:r>
          </w:p>
          <w:p w:rsidR="00484719" w:rsidRPr="00D23612" w:rsidRDefault="00484719" w:rsidP="00484719">
            <w:pPr>
              <w:pStyle w:val="2"/>
              <w:numPr>
                <w:ilvl w:val="0"/>
                <w:numId w:val="2"/>
              </w:numPr>
              <w:tabs>
                <w:tab w:val="clear" w:pos="567"/>
                <w:tab w:val="num" w:pos="322"/>
              </w:tabs>
              <w:spacing w:after="0" w:line="240" w:lineRule="auto"/>
              <w:ind w:leftChars="0" w:left="322" w:hanging="322"/>
              <w:jc w:val="both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本表所稱建築物樓層數，係指建築物地表面以上之樓層數。</w:t>
            </w:r>
          </w:p>
          <w:p w:rsidR="00484719" w:rsidRPr="00D23612" w:rsidRDefault="00484719" w:rsidP="00484719">
            <w:pPr>
              <w:pStyle w:val="2"/>
              <w:numPr>
                <w:ilvl w:val="0"/>
                <w:numId w:val="2"/>
              </w:numPr>
              <w:tabs>
                <w:tab w:val="clear" w:pos="567"/>
                <w:tab w:val="num" w:pos="322"/>
              </w:tabs>
              <w:spacing w:after="0" w:line="240" w:lineRule="auto"/>
              <w:ind w:leftChars="0" w:left="322" w:hanging="322"/>
              <w:jc w:val="both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與同一服務契約有關之各項工程，合併計算建造費用。惟如屬分期或分區或開口服務契約之分案工程施作，且契約已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明訂依分期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或分區或開口服務契約之分案工程給付服務費用者（但不包括同一工程之分標採購案），不在此限。</w:t>
            </w:r>
          </w:p>
          <w:p w:rsidR="00484719" w:rsidRPr="00D23612" w:rsidRDefault="00484719" w:rsidP="00484719">
            <w:pPr>
              <w:pStyle w:val="2"/>
              <w:numPr>
                <w:ilvl w:val="0"/>
                <w:numId w:val="2"/>
              </w:numPr>
              <w:tabs>
                <w:tab w:val="clear" w:pos="567"/>
                <w:tab w:val="num" w:pos="322"/>
              </w:tabs>
              <w:spacing w:after="0" w:line="240" w:lineRule="auto"/>
              <w:ind w:leftChars="0" w:left="322" w:hanging="322"/>
              <w:jc w:val="both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建築物之室內裝修及整修工程得比照同類之建築物計費。</w:t>
            </w:r>
            <w:r w:rsidRPr="00FD7A05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但如屬既有建築物之結構補強，且須就補強之結構物進行分析者，</w:t>
            </w: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其服務費用由機關依個案特性及實際需要另行估算，</w:t>
            </w:r>
            <w:r w:rsidRPr="00FD7A05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不適用本表計費。</w:t>
            </w:r>
          </w:p>
          <w:p w:rsidR="00484719" w:rsidRPr="00D23612" w:rsidRDefault="00484719" w:rsidP="00484719">
            <w:pPr>
              <w:pStyle w:val="2"/>
              <w:numPr>
                <w:ilvl w:val="0"/>
                <w:numId w:val="2"/>
              </w:numPr>
              <w:tabs>
                <w:tab w:val="clear" w:pos="567"/>
                <w:tab w:val="num" w:pos="322"/>
              </w:tabs>
              <w:spacing w:after="0" w:line="240" w:lineRule="auto"/>
              <w:ind w:leftChars="0" w:left="322" w:hanging="322"/>
              <w:jc w:val="both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特殊構造或用途、小規模（例如工程經費未達新臺幣</w:t>
            </w:r>
            <w:proofErr w:type="gramStart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一</w:t>
            </w:r>
            <w:proofErr w:type="gramEnd"/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百萬元）、國家公園範圍內或區位偏遠之工程，其服務費用得依個案特性及實際需要預估編列，不受本表百分比上限之限制。</w:t>
            </w:r>
          </w:p>
          <w:p w:rsidR="00484719" w:rsidRPr="00D23612" w:rsidRDefault="00484719" w:rsidP="00484719">
            <w:pPr>
              <w:pStyle w:val="2"/>
              <w:numPr>
                <w:ilvl w:val="0"/>
                <w:numId w:val="2"/>
              </w:numPr>
              <w:tabs>
                <w:tab w:val="clear" w:pos="567"/>
                <w:tab w:val="num" w:pos="322"/>
              </w:tabs>
              <w:spacing w:after="0" w:line="240" w:lineRule="auto"/>
              <w:ind w:leftChars="0" w:left="322" w:hanging="322"/>
              <w:jc w:val="both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本表所列百分比，不包括本辦法第四條、第五條第一項第四款、第六條第一項第一款第二目、第二款第一目及第八條第三款至第五款服務事項之服務費用。其費用由機關依個案特性及實際需要另行估算，如需加計，不受本表百分比上限之限制。</w:t>
            </w:r>
          </w:p>
          <w:p w:rsidR="00484719" w:rsidRPr="00D23612" w:rsidRDefault="00484719" w:rsidP="00484719">
            <w:pPr>
              <w:pStyle w:val="2"/>
              <w:numPr>
                <w:ilvl w:val="0"/>
                <w:numId w:val="2"/>
              </w:numPr>
              <w:tabs>
                <w:tab w:val="clear" w:pos="567"/>
                <w:tab w:val="num" w:pos="322"/>
              </w:tabs>
              <w:spacing w:after="0" w:line="240" w:lineRule="auto"/>
              <w:ind w:leftChars="0" w:left="322" w:hanging="322"/>
              <w:jc w:val="both"/>
              <w:rPr>
                <w:rFonts w:ascii="新細明體" w:eastAsia="新細明體" w:hAnsi="新細明體"/>
                <w:color w:val="FF0000"/>
                <w:sz w:val="16"/>
                <w:szCs w:val="16"/>
              </w:rPr>
            </w:pPr>
            <w:r w:rsidRPr="00D23612">
              <w:rPr>
                <w:rFonts w:ascii="新細明體" w:eastAsia="新細明體" w:hAnsi="新細明體" w:hint="eastAsia"/>
                <w:color w:val="FF0000"/>
                <w:sz w:val="16"/>
                <w:szCs w:val="16"/>
              </w:rPr>
              <w:t>申請公有建築物候選智慧建築證書或智慧建築標章之服務費用，由機關依個案特性及實際需要另行估算，如需加計，不受本表百分比上限之限制。</w:t>
            </w:r>
          </w:p>
        </w:tc>
      </w:tr>
    </w:tbl>
    <w:p w:rsidR="00484719" w:rsidRDefault="00484719" w:rsidP="00484719">
      <w:pPr>
        <w:pStyle w:val="0-"/>
        <w:spacing w:afterLines="50" w:after="180"/>
        <w:ind w:left="440" w:hanging="440"/>
        <w:jc w:val="center"/>
        <w:rPr>
          <w:b/>
          <w:sz w:val="22"/>
        </w:rPr>
      </w:pPr>
    </w:p>
    <w:p w:rsidR="00F9090A" w:rsidRPr="00484719" w:rsidRDefault="00F9090A" w:rsidP="00F9090A">
      <w:pPr>
        <w:pStyle w:val="0-"/>
        <w:spacing w:afterLines="50" w:after="180"/>
        <w:ind w:left="440" w:hanging="440"/>
        <w:jc w:val="center"/>
        <w:rPr>
          <w:b/>
          <w:sz w:val="22"/>
        </w:rPr>
      </w:pPr>
      <w:bookmarkStart w:id="0" w:name="_GoBack"/>
      <w:bookmarkEnd w:id="0"/>
    </w:p>
    <w:p w:rsidR="00F9090A" w:rsidRPr="001A43E1" w:rsidRDefault="00F9090A" w:rsidP="00F9090A">
      <w:pPr>
        <w:snapToGrid w:val="0"/>
      </w:pPr>
    </w:p>
    <w:p w:rsidR="00F9090A" w:rsidRPr="001A43E1" w:rsidRDefault="00F9090A" w:rsidP="00F9090A">
      <w:pPr>
        <w:pStyle w:val="0-1100"/>
        <w:ind w:leftChars="50" w:left="1281" w:hanging="1191"/>
        <w:rPr>
          <w:rFonts w:ascii="新細明體" w:eastAsia="新細明體" w:hAnsi="新細明體"/>
          <w:b/>
          <w:sz w:val="17"/>
          <w:szCs w:val="17"/>
        </w:rPr>
      </w:pPr>
    </w:p>
    <w:p w:rsidR="0073197B" w:rsidRPr="00F9090A" w:rsidRDefault="0073197B" w:rsidP="00F9090A">
      <w:pPr>
        <w:widowControl/>
        <w:rPr>
          <w:sz w:val="21"/>
          <w:szCs w:val="21"/>
        </w:rPr>
      </w:pPr>
    </w:p>
    <w:sectPr w:rsidR="0073197B" w:rsidRPr="00F909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035" w:rsidRDefault="00EE4035" w:rsidP="00484719">
      <w:r>
        <w:separator/>
      </w:r>
    </w:p>
  </w:endnote>
  <w:endnote w:type="continuationSeparator" w:id="0">
    <w:p w:rsidR="00EE4035" w:rsidRDefault="00EE4035" w:rsidP="0048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035" w:rsidRDefault="00EE4035" w:rsidP="00484719">
      <w:r>
        <w:separator/>
      </w:r>
    </w:p>
  </w:footnote>
  <w:footnote w:type="continuationSeparator" w:id="0">
    <w:p w:rsidR="00EE4035" w:rsidRDefault="00EE4035" w:rsidP="00484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23F8"/>
    <w:multiLevelType w:val="hybridMultilevel"/>
    <w:tmpl w:val="12CA0B50"/>
    <w:lvl w:ilvl="0" w:tplc="AD2632EE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6A8314D"/>
    <w:multiLevelType w:val="hybridMultilevel"/>
    <w:tmpl w:val="12CA0B50"/>
    <w:lvl w:ilvl="0" w:tplc="AD2632EE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0A"/>
    <w:rsid w:val="002F3080"/>
    <w:rsid w:val="00423706"/>
    <w:rsid w:val="00484719"/>
    <w:rsid w:val="005E474C"/>
    <w:rsid w:val="0072712B"/>
    <w:rsid w:val="0073197B"/>
    <w:rsid w:val="009F1CF9"/>
    <w:rsid w:val="00A00DEF"/>
    <w:rsid w:val="00AF486E"/>
    <w:rsid w:val="00B34E7A"/>
    <w:rsid w:val="00B77E9C"/>
    <w:rsid w:val="00BE2313"/>
    <w:rsid w:val="00C36285"/>
    <w:rsid w:val="00DE5F33"/>
    <w:rsid w:val="00EE4035"/>
    <w:rsid w:val="00F9090A"/>
    <w:rsid w:val="00F955C2"/>
    <w:rsid w:val="00FE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90A"/>
    <w:pPr>
      <w:widowControl w:val="0"/>
    </w:pPr>
    <w:rPr>
      <w:rFonts w:ascii="標楷體" w:eastAsia="標楷體" w:hAnsi="Times New Roman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-1100">
    <w:name w:val="0-第1~100條"/>
    <w:basedOn w:val="a"/>
    <w:qFormat/>
    <w:rsid w:val="00F9090A"/>
    <w:pPr>
      <w:kinsoku w:val="0"/>
      <w:overflowPunct w:val="0"/>
      <w:snapToGrid w:val="0"/>
      <w:spacing w:line="250" w:lineRule="exact"/>
      <w:ind w:left="1470" w:hangingChars="700" w:hanging="1470"/>
      <w:jc w:val="both"/>
    </w:pPr>
    <w:rPr>
      <w:sz w:val="21"/>
      <w:szCs w:val="21"/>
    </w:rPr>
  </w:style>
  <w:style w:type="paragraph" w:customStyle="1" w:styleId="0-">
    <w:name w:val="0-一."/>
    <w:basedOn w:val="0-1100"/>
    <w:qFormat/>
    <w:rsid w:val="00F9090A"/>
    <w:pPr>
      <w:ind w:left="420" w:hangingChars="200" w:hanging="420"/>
    </w:pPr>
  </w:style>
  <w:style w:type="table" w:styleId="a3">
    <w:name w:val="Table Grid"/>
    <w:basedOn w:val="a1"/>
    <w:rsid w:val="00F9090A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847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4719"/>
    <w:rPr>
      <w:rFonts w:ascii="標楷體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47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4719"/>
    <w:rPr>
      <w:rFonts w:ascii="標楷體" w:eastAsia="標楷體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48471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484719"/>
    <w:rPr>
      <w:rFonts w:ascii="標楷體" w:eastAsia="標楷體" w:hAnsi="Times New Roman" w:cs="Times New Roman"/>
      <w:sz w:val="18"/>
      <w:szCs w:val="24"/>
    </w:rPr>
  </w:style>
  <w:style w:type="paragraph" w:customStyle="1" w:styleId="Default">
    <w:name w:val="Default"/>
    <w:rsid w:val="0048471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90A"/>
    <w:pPr>
      <w:widowControl w:val="0"/>
    </w:pPr>
    <w:rPr>
      <w:rFonts w:ascii="標楷體" w:eastAsia="標楷體" w:hAnsi="Times New Roman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-1100">
    <w:name w:val="0-第1~100條"/>
    <w:basedOn w:val="a"/>
    <w:qFormat/>
    <w:rsid w:val="00F9090A"/>
    <w:pPr>
      <w:kinsoku w:val="0"/>
      <w:overflowPunct w:val="0"/>
      <w:snapToGrid w:val="0"/>
      <w:spacing w:line="250" w:lineRule="exact"/>
      <w:ind w:left="1470" w:hangingChars="700" w:hanging="1470"/>
      <w:jc w:val="both"/>
    </w:pPr>
    <w:rPr>
      <w:sz w:val="21"/>
      <w:szCs w:val="21"/>
    </w:rPr>
  </w:style>
  <w:style w:type="paragraph" w:customStyle="1" w:styleId="0-">
    <w:name w:val="0-一."/>
    <w:basedOn w:val="0-1100"/>
    <w:qFormat/>
    <w:rsid w:val="00F9090A"/>
    <w:pPr>
      <w:ind w:left="420" w:hangingChars="200" w:hanging="420"/>
    </w:pPr>
  </w:style>
  <w:style w:type="table" w:styleId="a3">
    <w:name w:val="Table Grid"/>
    <w:basedOn w:val="a1"/>
    <w:rsid w:val="00F9090A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847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4719"/>
    <w:rPr>
      <w:rFonts w:ascii="標楷體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47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4719"/>
    <w:rPr>
      <w:rFonts w:ascii="標楷體" w:eastAsia="標楷體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48471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484719"/>
    <w:rPr>
      <w:rFonts w:ascii="標楷體" w:eastAsia="標楷體" w:hAnsi="Times New Roman" w:cs="Times New Roman"/>
      <w:sz w:val="18"/>
      <w:szCs w:val="24"/>
    </w:rPr>
  </w:style>
  <w:style w:type="paragraph" w:customStyle="1" w:styleId="Default">
    <w:name w:val="Default"/>
    <w:rsid w:val="0048471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aac2026</dc:creator>
  <cp:lastModifiedBy>aac2026</cp:lastModifiedBy>
  <cp:revision>4</cp:revision>
  <dcterms:created xsi:type="dcterms:W3CDTF">2019-02-15T08:54:00Z</dcterms:created>
  <dcterms:modified xsi:type="dcterms:W3CDTF">2019-02-26T01:21:00Z</dcterms:modified>
</cp:coreProperties>
</file>