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5D" w:rsidRDefault="00BA285D" w:rsidP="00BA285D">
      <w:pPr>
        <w:pStyle w:val="0-"/>
      </w:pPr>
      <w:r w:rsidRPr="00FF1D2E">
        <w:rPr>
          <w:rFonts w:hint="eastAsia"/>
        </w:rPr>
        <w:t>附表二</w:t>
      </w:r>
    </w:p>
    <w:p w:rsidR="00BA285D" w:rsidRPr="00FF1D2E" w:rsidRDefault="00BA285D" w:rsidP="00BA285D">
      <w:pPr>
        <w:pStyle w:val="0-"/>
      </w:pPr>
    </w:p>
    <w:p w:rsidR="00BA285D" w:rsidRDefault="00BA285D" w:rsidP="00BA285D">
      <w:pPr>
        <w:pStyle w:val="0-"/>
        <w:spacing w:afterLines="50" w:after="180"/>
        <w:ind w:left="440" w:hanging="440"/>
        <w:jc w:val="center"/>
        <w:rPr>
          <w:b/>
          <w:sz w:val="22"/>
        </w:rPr>
      </w:pPr>
      <w:r w:rsidRPr="00FF1D2E">
        <w:rPr>
          <w:rFonts w:hint="eastAsia"/>
          <w:b/>
          <w:sz w:val="22"/>
        </w:rPr>
        <w:t>公共工程（不包括建築物工程）技術服務建造費用百分比上限參考表</w:t>
      </w:r>
    </w:p>
    <w:tbl>
      <w:tblPr>
        <w:tblStyle w:val="a3"/>
        <w:tblW w:w="49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4"/>
        <w:gridCol w:w="2624"/>
        <w:gridCol w:w="2760"/>
      </w:tblGrid>
      <w:tr w:rsidR="00BA285D" w:rsidRPr="00F83BD6" w:rsidTr="00903C6D">
        <w:trPr>
          <w:jc w:val="center"/>
        </w:trPr>
        <w:tc>
          <w:tcPr>
            <w:tcW w:w="2374" w:type="dxa"/>
            <w:vMerge w:val="restart"/>
            <w:vAlign w:val="center"/>
          </w:tcPr>
          <w:p w:rsidR="00BA285D" w:rsidRPr="00F83BD6" w:rsidRDefault="00BA285D" w:rsidP="00903C6D">
            <w:pPr>
              <w:snapToGrid w:val="0"/>
              <w:jc w:val="center"/>
              <w:rPr>
                <w:rFonts w:ascii="新細明體" w:eastAsia="新細明體" w:hAnsi="新細明體"/>
                <w:b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Cs w:val="18"/>
              </w:rPr>
              <w:t>建造費用</w:t>
            </w:r>
          </w:p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（新臺幣）</w:t>
            </w:r>
          </w:p>
        </w:tc>
        <w:tc>
          <w:tcPr>
            <w:tcW w:w="4417" w:type="dxa"/>
            <w:gridSpan w:val="2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服務費用百分比上限參考</w:t>
            </w:r>
            <w:r w:rsidRPr="00F83BD6">
              <w:rPr>
                <w:rFonts w:ascii="新細明體" w:eastAsia="新細明體" w:hAnsi="新細明體"/>
                <w:sz w:val="18"/>
                <w:szCs w:val="18"/>
              </w:rPr>
              <w:t>(</w:t>
            </w: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％</w:t>
            </w:r>
            <w:r w:rsidRPr="00F83BD6">
              <w:rPr>
                <w:rFonts w:ascii="新細明體" w:eastAsia="新細明體" w:hAnsi="新細明體"/>
                <w:sz w:val="18"/>
                <w:szCs w:val="18"/>
              </w:rPr>
              <w:t>)</w:t>
            </w:r>
          </w:p>
        </w:tc>
      </w:tr>
      <w:tr w:rsidR="00BA285D" w:rsidRPr="00F83BD6" w:rsidTr="00903C6D">
        <w:trPr>
          <w:jc w:val="center"/>
        </w:trPr>
        <w:tc>
          <w:tcPr>
            <w:tcW w:w="2374" w:type="dxa"/>
            <w:vMerge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設計及協辦招標決標</w:t>
            </w:r>
          </w:p>
        </w:tc>
        <w:tc>
          <w:tcPr>
            <w:tcW w:w="2264" w:type="dxa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監造</w:t>
            </w:r>
          </w:p>
        </w:tc>
      </w:tr>
      <w:tr w:rsidR="00BA285D" w:rsidRPr="00F83BD6" w:rsidTr="00903C6D">
        <w:trPr>
          <w:jc w:val="center"/>
        </w:trPr>
        <w:tc>
          <w:tcPr>
            <w:tcW w:w="237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五百萬元以下部分</w:t>
            </w:r>
          </w:p>
        </w:tc>
        <w:tc>
          <w:tcPr>
            <w:tcW w:w="2153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五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九</w:t>
            </w:r>
          </w:p>
        </w:tc>
        <w:tc>
          <w:tcPr>
            <w:tcW w:w="226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四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六</w:t>
            </w:r>
          </w:p>
        </w:tc>
      </w:tr>
      <w:tr w:rsidR="00BA285D" w:rsidRPr="00F83BD6" w:rsidTr="00903C6D">
        <w:trPr>
          <w:jc w:val="center"/>
        </w:trPr>
        <w:tc>
          <w:tcPr>
            <w:tcW w:w="237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超過五百萬元</w:t>
            </w:r>
            <w:r>
              <w:rPr>
                <w:rFonts w:ascii="新細明體" w:eastAsia="新細明體" w:hAnsi="新細明體"/>
                <w:sz w:val="18"/>
                <w:szCs w:val="18"/>
              </w:rPr>
              <w:br/>
            </w: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至一千萬元部分</w:t>
            </w:r>
          </w:p>
        </w:tc>
        <w:tc>
          <w:tcPr>
            <w:tcW w:w="2153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五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六</w:t>
            </w:r>
          </w:p>
        </w:tc>
        <w:tc>
          <w:tcPr>
            <w:tcW w:w="226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四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四</w:t>
            </w:r>
          </w:p>
        </w:tc>
      </w:tr>
      <w:tr w:rsidR="00BA285D" w:rsidRPr="00F83BD6" w:rsidTr="00903C6D">
        <w:trPr>
          <w:jc w:val="center"/>
        </w:trPr>
        <w:tc>
          <w:tcPr>
            <w:tcW w:w="237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超過一千萬元</w:t>
            </w:r>
            <w:r>
              <w:rPr>
                <w:rFonts w:ascii="新細明體" w:eastAsia="新細明體" w:hAnsi="新細明體"/>
                <w:sz w:val="18"/>
                <w:szCs w:val="18"/>
              </w:rPr>
              <w:br/>
            </w: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至五千萬元部分</w:t>
            </w:r>
          </w:p>
        </w:tc>
        <w:tc>
          <w:tcPr>
            <w:tcW w:w="2153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五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○</w:t>
            </w:r>
          </w:p>
        </w:tc>
        <w:tc>
          <w:tcPr>
            <w:tcW w:w="226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三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九</w:t>
            </w:r>
          </w:p>
        </w:tc>
      </w:tr>
      <w:tr w:rsidR="00BA285D" w:rsidRPr="00F83BD6" w:rsidTr="00903C6D">
        <w:trPr>
          <w:jc w:val="center"/>
        </w:trPr>
        <w:tc>
          <w:tcPr>
            <w:tcW w:w="237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超過五千萬元至一億元部分</w:t>
            </w:r>
          </w:p>
        </w:tc>
        <w:tc>
          <w:tcPr>
            <w:tcW w:w="2153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四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三</w:t>
            </w:r>
          </w:p>
        </w:tc>
        <w:tc>
          <w:tcPr>
            <w:tcW w:w="226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三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三</w:t>
            </w:r>
          </w:p>
        </w:tc>
      </w:tr>
      <w:tr w:rsidR="00BA285D" w:rsidRPr="00F83BD6" w:rsidTr="00903C6D">
        <w:trPr>
          <w:jc w:val="center"/>
        </w:trPr>
        <w:tc>
          <w:tcPr>
            <w:tcW w:w="237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超過一億元至五億元部分</w:t>
            </w:r>
          </w:p>
        </w:tc>
        <w:tc>
          <w:tcPr>
            <w:tcW w:w="2153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三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六</w:t>
            </w:r>
          </w:p>
        </w:tc>
        <w:tc>
          <w:tcPr>
            <w:tcW w:w="226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二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八</w:t>
            </w:r>
          </w:p>
        </w:tc>
      </w:tr>
      <w:tr w:rsidR="00BA285D" w:rsidRPr="00F83BD6" w:rsidTr="00903C6D">
        <w:trPr>
          <w:jc w:val="center"/>
        </w:trPr>
        <w:tc>
          <w:tcPr>
            <w:tcW w:w="237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超過五億元部分</w:t>
            </w:r>
          </w:p>
        </w:tc>
        <w:tc>
          <w:tcPr>
            <w:tcW w:w="2153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三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二</w:t>
            </w:r>
          </w:p>
        </w:tc>
        <w:tc>
          <w:tcPr>
            <w:tcW w:w="226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二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‧</w:t>
            </w:r>
            <w:proofErr w:type="gramEnd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四</w:t>
            </w:r>
          </w:p>
        </w:tc>
      </w:tr>
      <w:tr w:rsidR="00BA285D" w:rsidRPr="00F83BD6" w:rsidTr="00903C6D">
        <w:trPr>
          <w:jc w:val="center"/>
        </w:trPr>
        <w:tc>
          <w:tcPr>
            <w:tcW w:w="2374" w:type="dxa"/>
            <w:vAlign w:val="center"/>
          </w:tcPr>
          <w:p w:rsidR="00BA285D" w:rsidRPr="00F83BD6" w:rsidRDefault="00BA285D" w:rsidP="00903C6D">
            <w:pPr>
              <w:pStyle w:val="0-"/>
              <w:spacing w:line="240" w:lineRule="auto"/>
              <w:ind w:left="0" w:firstLineChars="0" w:firstLine="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 xml:space="preserve">附     </w:t>
            </w:r>
            <w:proofErr w:type="gramStart"/>
            <w:r w:rsidRPr="00F83BD6">
              <w:rPr>
                <w:rFonts w:ascii="新細明體" w:eastAsia="新細明體" w:hAnsi="新細明體" w:hint="eastAsia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4417" w:type="dxa"/>
            <w:gridSpan w:val="2"/>
          </w:tcPr>
          <w:p w:rsidR="00BA285D" w:rsidRPr="00F83BD6" w:rsidRDefault="00BA285D" w:rsidP="00BA285D">
            <w:pPr>
              <w:snapToGrid w:val="0"/>
              <w:ind w:left="360" w:hangingChars="200" w:hanging="360"/>
              <w:jc w:val="both"/>
              <w:rPr>
                <w:rFonts w:ascii="新細明體" w:eastAsia="新細明體" w:hAnsi="新細明體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Cs w:val="18"/>
              </w:rPr>
              <w:t>一、設計、協辦招標決標及監造，如係由同一廠商辦理者各項服務費用所占百分比，得在上述百分比合計值範圍內，由機關視個案特性及實際需要予以調整。</w:t>
            </w:r>
          </w:p>
          <w:p w:rsidR="00BA285D" w:rsidRPr="00F83BD6" w:rsidRDefault="00BA285D" w:rsidP="00BA285D">
            <w:pPr>
              <w:snapToGrid w:val="0"/>
              <w:ind w:left="360" w:hangingChars="200" w:hanging="360"/>
              <w:jc w:val="both"/>
              <w:rPr>
                <w:rFonts w:ascii="新細明體" w:eastAsia="新細明體" w:hAnsi="新細明體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Cs w:val="18"/>
              </w:rPr>
              <w:t>二、與同一服務契約有關之各項工程，合併計算建造費用。惟如屬分期或分</w:t>
            </w:r>
            <w:r w:rsidRPr="00F83BD6">
              <w:rPr>
                <w:rFonts w:ascii="新細明體" w:eastAsia="新細明體" w:hAnsi="新細明體" w:hint="eastAsia"/>
                <w:color w:val="000000"/>
                <w:szCs w:val="18"/>
              </w:rPr>
              <w:t>區或開口服務契約之分案工程施作，且契約已</w:t>
            </w:r>
            <w:proofErr w:type="gramStart"/>
            <w:r w:rsidRPr="00F83BD6">
              <w:rPr>
                <w:rFonts w:ascii="新細明體" w:eastAsia="新細明體" w:hAnsi="新細明體" w:hint="eastAsia"/>
                <w:color w:val="000000"/>
                <w:szCs w:val="18"/>
              </w:rPr>
              <w:t>明訂依分期</w:t>
            </w:r>
            <w:proofErr w:type="gramEnd"/>
            <w:r w:rsidRPr="00F83BD6">
              <w:rPr>
                <w:rFonts w:ascii="新細明體" w:eastAsia="新細明體" w:hAnsi="新細明體" w:hint="eastAsia"/>
                <w:color w:val="000000"/>
                <w:szCs w:val="18"/>
              </w:rPr>
              <w:t>或分區或開口服務契約之分案工程給付服務費用者（但不包括同一工程之分標採購案），不在此限。</w:t>
            </w:r>
          </w:p>
          <w:p w:rsidR="00BA285D" w:rsidRPr="00F83BD6" w:rsidRDefault="00BA285D" w:rsidP="00BA285D">
            <w:pPr>
              <w:snapToGrid w:val="0"/>
              <w:ind w:left="360" w:hangingChars="200" w:hanging="360"/>
              <w:jc w:val="both"/>
              <w:rPr>
                <w:rFonts w:ascii="新細明體" w:eastAsia="新細明體" w:hAnsi="新細明體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Cs w:val="18"/>
              </w:rPr>
              <w:t>三、特殊構造或用途、小規模（例如工程經費未達新臺幣</w:t>
            </w:r>
            <w:proofErr w:type="gramStart"/>
            <w:r w:rsidRPr="00F83BD6">
              <w:rPr>
                <w:rFonts w:ascii="新細明體" w:eastAsia="新細明體" w:hAnsi="新細明體" w:hint="eastAsia"/>
                <w:szCs w:val="18"/>
              </w:rPr>
              <w:t>一</w:t>
            </w:r>
            <w:proofErr w:type="gramEnd"/>
            <w:r w:rsidRPr="00F83BD6">
              <w:rPr>
                <w:rFonts w:ascii="新細明體" w:eastAsia="新細明體" w:hAnsi="新細明體" w:hint="eastAsia"/>
                <w:szCs w:val="18"/>
              </w:rPr>
              <w:t>百萬元）、國家公園範圍內或區位偏遠之工程，其服務費用得依個案特性及實際需要預估編列，不受本表百分比上限之限制。</w:t>
            </w:r>
          </w:p>
          <w:p w:rsidR="00BA285D" w:rsidRPr="00F83BD6" w:rsidRDefault="00BA285D" w:rsidP="00BA285D">
            <w:pPr>
              <w:snapToGrid w:val="0"/>
              <w:ind w:left="360" w:hangingChars="200" w:hanging="360"/>
              <w:jc w:val="both"/>
              <w:rPr>
                <w:rFonts w:ascii="新細明體" w:eastAsia="新細明體" w:hAnsi="新細明體"/>
                <w:color w:val="000000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szCs w:val="18"/>
              </w:rPr>
              <w:t>四、本表所列百分比，不包括本辦法第四條、第五條、第六條第一項第一款第二目、第二款第一目及第八條第三款至第五款服務事項之服務費用。其費用由機關依個</w:t>
            </w:r>
            <w:r w:rsidRPr="00F83BD6">
              <w:rPr>
                <w:rFonts w:ascii="新細明體" w:eastAsia="新細明體" w:hAnsi="新細明體" w:hint="eastAsia"/>
                <w:color w:val="000000"/>
                <w:szCs w:val="18"/>
              </w:rPr>
              <w:t>案特性及實際需要另行估算，如需加計，不受本表百分比上限之限制。</w:t>
            </w:r>
          </w:p>
          <w:p w:rsidR="00BA285D" w:rsidRPr="00F83BD6" w:rsidRDefault="00BA285D" w:rsidP="00BA285D">
            <w:pPr>
              <w:snapToGrid w:val="0"/>
              <w:ind w:left="360" w:hangingChars="200" w:hanging="360"/>
              <w:jc w:val="both"/>
              <w:rPr>
                <w:rFonts w:ascii="新細明體" w:eastAsia="新細明體" w:hAnsi="新細明體"/>
                <w:szCs w:val="18"/>
              </w:rPr>
            </w:pPr>
            <w:r w:rsidRPr="00F83BD6">
              <w:rPr>
                <w:rFonts w:ascii="新細明體" w:eastAsia="新細明體" w:hAnsi="新細明體" w:hint="eastAsia"/>
                <w:color w:val="000000"/>
                <w:szCs w:val="18"/>
              </w:rPr>
              <w:t>五、</w:t>
            </w:r>
            <w:r w:rsidRPr="00F83BD6">
              <w:rPr>
                <w:rFonts w:ascii="新細明體" w:eastAsia="新細明體" w:hAnsi="新細明體" w:hint="eastAsia"/>
                <w:bCs/>
                <w:color w:val="000000"/>
                <w:szCs w:val="18"/>
              </w:rPr>
              <w:t>既有公共工程之結構補強，且須就補強之結構物進行分析者，</w:t>
            </w:r>
            <w:r w:rsidRPr="00F83BD6">
              <w:rPr>
                <w:rFonts w:ascii="新細明體" w:eastAsia="新細明體" w:hAnsi="新細明體" w:hint="eastAsia"/>
                <w:color w:val="000000"/>
                <w:szCs w:val="18"/>
              </w:rPr>
              <w:t>其服務費用由機關依個案特性及實際需要另行估算，</w:t>
            </w:r>
            <w:r w:rsidRPr="00F83BD6">
              <w:rPr>
                <w:rFonts w:ascii="新細明體" w:eastAsia="新細明體" w:hAnsi="新細明體" w:hint="eastAsia"/>
                <w:bCs/>
                <w:color w:val="000000"/>
                <w:szCs w:val="18"/>
              </w:rPr>
              <w:t>不適用本表計費。</w:t>
            </w:r>
          </w:p>
        </w:tc>
      </w:tr>
    </w:tbl>
    <w:p w:rsidR="0073197B" w:rsidRPr="00BA285D" w:rsidRDefault="0073197B">
      <w:bookmarkStart w:id="0" w:name="_GoBack"/>
      <w:bookmarkEnd w:id="0"/>
    </w:p>
    <w:sectPr w:rsidR="0073197B" w:rsidRPr="00BA28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5D"/>
    <w:rsid w:val="002F3080"/>
    <w:rsid w:val="00423706"/>
    <w:rsid w:val="005E474C"/>
    <w:rsid w:val="0072712B"/>
    <w:rsid w:val="0073197B"/>
    <w:rsid w:val="009F1CF9"/>
    <w:rsid w:val="00A00DEF"/>
    <w:rsid w:val="00AF486E"/>
    <w:rsid w:val="00B77E9C"/>
    <w:rsid w:val="00BA285D"/>
    <w:rsid w:val="00BE2313"/>
    <w:rsid w:val="00C36285"/>
    <w:rsid w:val="00DE5F3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5D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">
    <w:name w:val="0-一."/>
    <w:basedOn w:val="a"/>
    <w:qFormat/>
    <w:rsid w:val="00BA285D"/>
    <w:pPr>
      <w:kinsoku w:val="0"/>
      <w:overflowPunct w:val="0"/>
      <w:snapToGrid w:val="0"/>
      <w:spacing w:line="250" w:lineRule="exact"/>
      <w:ind w:left="420" w:hangingChars="200" w:hanging="420"/>
      <w:jc w:val="both"/>
    </w:pPr>
    <w:rPr>
      <w:sz w:val="21"/>
      <w:szCs w:val="21"/>
    </w:rPr>
  </w:style>
  <w:style w:type="table" w:styleId="a3">
    <w:name w:val="Table Grid"/>
    <w:basedOn w:val="a1"/>
    <w:rsid w:val="00BA285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5D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">
    <w:name w:val="0-一."/>
    <w:basedOn w:val="a"/>
    <w:qFormat/>
    <w:rsid w:val="00BA285D"/>
    <w:pPr>
      <w:kinsoku w:val="0"/>
      <w:overflowPunct w:val="0"/>
      <w:snapToGrid w:val="0"/>
      <w:spacing w:line="250" w:lineRule="exact"/>
      <w:ind w:left="420" w:hangingChars="200" w:hanging="420"/>
      <w:jc w:val="both"/>
    </w:pPr>
    <w:rPr>
      <w:sz w:val="21"/>
      <w:szCs w:val="21"/>
    </w:rPr>
  </w:style>
  <w:style w:type="table" w:styleId="a3">
    <w:name w:val="Table Grid"/>
    <w:basedOn w:val="a1"/>
    <w:rsid w:val="00BA285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2019-02-15T08:55:00Z</dcterms:created>
  <dcterms:modified xsi:type="dcterms:W3CDTF">2019-02-15T08:55:00Z</dcterms:modified>
</cp:coreProperties>
</file>