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84" w:rsidRDefault="00564284" w:rsidP="00564284">
      <w:pPr>
        <w:pStyle w:val="0-"/>
      </w:pPr>
      <w:r w:rsidRPr="00FF1D2E">
        <w:rPr>
          <w:rFonts w:hint="eastAsia"/>
        </w:rPr>
        <w:t>附表</w:t>
      </w:r>
      <w:proofErr w:type="gramStart"/>
      <w:r w:rsidRPr="00FF1D2E">
        <w:rPr>
          <w:rFonts w:hint="eastAsia"/>
        </w:rPr>
        <w:t>三</w:t>
      </w:r>
      <w:proofErr w:type="gramEnd"/>
    </w:p>
    <w:p w:rsidR="00564284" w:rsidRPr="00FF1D2E" w:rsidRDefault="00564284" w:rsidP="00564284">
      <w:pPr>
        <w:pStyle w:val="0-"/>
      </w:pPr>
    </w:p>
    <w:p w:rsidR="00564284" w:rsidRDefault="00564284" w:rsidP="00564284">
      <w:pPr>
        <w:pStyle w:val="0-"/>
        <w:spacing w:afterLines="50" w:after="180"/>
        <w:ind w:left="440" w:hanging="440"/>
        <w:jc w:val="center"/>
        <w:rPr>
          <w:b/>
          <w:sz w:val="22"/>
        </w:rPr>
      </w:pPr>
      <w:r w:rsidRPr="00FF1D2E">
        <w:rPr>
          <w:rFonts w:hint="eastAsia"/>
          <w:b/>
          <w:sz w:val="22"/>
        </w:rPr>
        <w:t>工程專案管理（不含監造）技術服務建造費用百分比上限參考表</w:t>
      </w:r>
    </w:p>
    <w:tbl>
      <w:tblPr>
        <w:tblW w:w="49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3"/>
        <w:gridCol w:w="1902"/>
        <w:gridCol w:w="4343"/>
      </w:tblGrid>
      <w:tr w:rsidR="00564284" w:rsidRPr="00C70A3D" w:rsidTr="00903C6D">
        <w:trPr>
          <w:cantSplit/>
          <w:jc w:val="center"/>
        </w:trPr>
        <w:tc>
          <w:tcPr>
            <w:tcW w:w="1668" w:type="dxa"/>
            <w:vAlign w:val="center"/>
          </w:tcPr>
          <w:p w:rsidR="00564284" w:rsidRPr="00C70A3D" w:rsidRDefault="00564284" w:rsidP="00903C6D">
            <w:pPr>
              <w:snapToGrid w:val="0"/>
              <w:jc w:val="center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建造費用</w:t>
            </w:r>
          </w:p>
          <w:p w:rsidR="00564284" w:rsidRPr="00C70A3D" w:rsidRDefault="00564284" w:rsidP="00903C6D">
            <w:pPr>
              <w:snapToGrid w:val="0"/>
              <w:ind w:left="113" w:right="113"/>
              <w:jc w:val="distribute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（新臺幣）</w:t>
            </w:r>
          </w:p>
        </w:tc>
        <w:tc>
          <w:tcPr>
            <w:tcW w:w="1560" w:type="dxa"/>
            <w:vAlign w:val="center"/>
          </w:tcPr>
          <w:p w:rsidR="00564284" w:rsidRPr="00C70A3D" w:rsidRDefault="00564284" w:rsidP="00903C6D">
            <w:pPr>
              <w:snapToGrid w:val="0"/>
              <w:ind w:left="113" w:right="113"/>
              <w:jc w:val="center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服務費用百分比上限參考（％）</w:t>
            </w:r>
          </w:p>
        </w:tc>
        <w:tc>
          <w:tcPr>
            <w:tcW w:w="3563" w:type="dxa"/>
            <w:vAlign w:val="center"/>
          </w:tcPr>
          <w:p w:rsidR="00564284" w:rsidRPr="00C70A3D" w:rsidRDefault="00564284" w:rsidP="00903C6D">
            <w:pPr>
              <w:snapToGrid w:val="0"/>
              <w:ind w:left="113" w:right="113"/>
              <w:jc w:val="distribute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附註</w:t>
            </w:r>
          </w:p>
        </w:tc>
      </w:tr>
      <w:tr w:rsidR="00564284" w:rsidRPr="00C70A3D" w:rsidTr="00903C6D">
        <w:trPr>
          <w:cantSplit/>
          <w:trHeight w:val="1047"/>
          <w:jc w:val="center"/>
        </w:trPr>
        <w:tc>
          <w:tcPr>
            <w:tcW w:w="1668" w:type="dxa"/>
            <w:vAlign w:val="center"/>
          </w:tcPr>
          <w:p w:rsidR="00564284" w:rsidRPr="00C70A3D" w:rsidRDefault="00564284" w:rsidP="00903C6D">
            <w:pPr>
              <w:snapToGrid w:val="0"/>
              <w:ind w:left="57" w:right="57"/>
              <w:jc w:val="center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三億元以下部分</w:t>
            </w:r>
          </w:p>
        </w:tc>
        <w:tc>
          <w:tcPr>
            <w:tcW w:w="1560" w:type="dxa"/>
            <w:vAlign w:val="center"/>
          </w:tcPr>
          <w:p w:rsidR="00564284" w:rsidRPr="00C70A3D" w:rsidRDefault="00564284" w:rsidP="00903C6D">
            <w:pPr>
              <w:snapToGrid w:val="0"/>
              <w:ind w:left="57" w:right="57"/>
              <w:jc w:val="center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三</w:t>
            </w:r>
            <w:proofErr w:type="gramStart"/>
            <w:r w:rsidRPr="00C70A3D">
              <w:rPr>
                <w:rFonts w:ascii="新細明體" w:eastAsia="新細明體" w:hAnsi="新細明體" w:hint="eastAsia"/>
                <w:szCs w:val="18"/>
              </w:rPr>
              <w:t>‧</w:t>
            </w:r>
            <w:proofErr w:type="gramEnd"/>
            <w:r w:rsidRPr="00C70A3D">
              <w:rPr>
                <w:rFonts w:ascii="新細明體" w:eastAsia="新細明體" w:hAnsi="新細明體" w:hint="eastAsia"/>
                <w:szCs w:val="18"/>
              </w:rPr>
              <w:t>五</w:t>
            </w:r>
          </w:p>
        </w:tc>
        <w:tc>
          <w:tcPr>
            <w:tcW w:w="3563" w:type="dxa"/>
            <w:vMerge w:val="restart"/>
          </w:tcPr>
          <w:p w:rsidR="00564284" w:rsidRPr="00C70A3D" w:rsidRDefault="00564284" w:rsidP="00903C6D">
            <w:pPr>
              <w:pStyle w:val="a3"/>
              <w:snapToGrid w:val="0"/>
              <w:ind w:left="360" w:hanging="360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 w:val="18"/>
                <w:szCs w:val="18"/>
              </w:rPr>
              <w:t>一、本表所列百分比為專案管理費占建造費用之比率。</w:t>
            </w:r>
          </w:p>
          <w:p w:rsidR="00564284" w:rsidRPr="00C70A3D" w:rsidRDefault="00564284" w:rsidP="00903C6D">
            <w:pPr>
              <w:pStyle w:val="a3"/>
              <w:snapToGrid w:val="0"/>
              <w:ind w:left="360" w:hanging="360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 w:val="18"/>
                <w:szCs w:val="18"/>
              </w:rPr>
              <w:t>二、本表所列百分比為公共工程全部委託專案管理之上限值，包括可行性研究、規劃、設計、招標、決標、施工督導與履約管理之諮詢及審查。原則上可行性研究之諮詢及審查占百分之五，規劃之諮詢及審查占百分之五，設計之諮詢及審查占百分之三十五，招標、決標之諮詢及審查占百分之十，施工督導與履約管理之諮詢及審查占百分之四十五。機關得依個案特性及實際需要調整該百分比之組成。</w:t>
            </w:r>
          </w:p>
          <w:p w:rsidR="00564284" w:rsidRPr="00C70A3D" w:rsidRDefault="00564284" w:rsidP="00903C6D">
            <w:pPr>
              <w:pStyle w:val="a3"/>
              <w:snapToGrid w:val="0"/>
              <w:ind w:left="360" w:hanging="360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 w:val="18"/>
                <w:szCs w:val="18"/>
              </w:rPr>
              <w:t>三、</w:t>
            </w:r>
            <w:r w:rsidRPr="00C70A3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與同一服務契約有關之各項工程，合併計算建造費用。惟如屬分期或分區或開口服務契約之分案工程施作，且契約已</w:t>
            </w:r>
            <w:proofErr w:type="gramStart"/>
            <w:r w:rsidRPr="00C70A3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明訂依分期</w:t>
            </w:r>
            <w:proofErr w:type="gramEnd"/>
            <w:r w:rsidRPr="00C70A3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或分區或開口服務契約之分案工程給付服務費用者（但不包括同一工程之分標採購案），不在此限。</w:t>
            </w:r>
          </w:p>
        </w:tc>
      </w:tr>
      <w:tr w:rsidR="00564284" w:rsidRPr="00C70A3D" w:rsidTr="00903C6D">
        <w:trPr>
          <w:cantSplit/>
          <w:trHeight w:val="1048"/>
          <w:jc w:val="center"/>
        </w:trPr>
        <w:tc>
          <w:tcPr>
            <w:tcW w:w="1668" w:type="dxa"/>
            <w:vAlign w:val="center"/>
          </w:tcPr>
          <w:p w:rsidR="00564284" w:rsidRPr="00C70A3D" w:rsidRDefault="00564284" w:rsidP="00903C6D">
            <w:pPr>
              <w:snapToGrid w:val="0"/>
              <w:ind w:left="57" w:right="57"/>
              <w:jc w:val="center"/>
              <w:rPr>
                <w:rFonts w:ascii="新細明體" w:eastAsia="新細明體" w:hAnsi="新細明體"/>
                <w:spacing w:val="-20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pacing w:val="-20"/>
                <w:szCs w:val="18"/>
              </w:rPr>
              <w:t>超過三億元</w:t>
            </w:r>
            <w:r>
              <w:rPr>
                <w:rFonts w:ascii="新細明體" w:eastAsia="新細明體" w:hAnsi="新細明體"/>
                <w:spacing w:val="-20"/>
                <w:szCs w:val="18"/>
              </w:rPr>
              <w:br/>
            </w:r>
            <w:r w:rsidRPr="00C70A3D">
              <w:rPr>
                <w:rFonts w:ascii="新細明體" w:eastAsia="新細明體" w:hAnsi="新細明體" w:hint="eastAsia"/>
                <w:spacing w:val="-20"/>
                <w:szCs w:val="18"/>
              </w:rPr>
              <w:t>至五億元部分</w:t>
            </w:r>
          </w:p>
        </w:tc>
        <w:tc>
          <w:tcPr>
            <w:tcW w:w="1560" w:type="dxa"/>
            <w:vAlign w:val="center"/>
          </w:tcPr>
          <w:p w:rsidR="00564284" w:rsidRPr="00C70A3D" w:rsidRDefault="00564284" w:rsidP="00903C6D">
            <w:pPr>
              <w:snapToGrid w:val="0"/>
              <w:ind w:left="57" w:right="57"/>
              <w:jc w:val="center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三</w:t>
            </w:r>
            <w:proofErr w:type="gramStart"/>
            <w:r w:rsidRPr="00C70A3D">
              <w:rPr>
                <w:rFonts w:ascii="新細明體" w:eastAsia="新細明體" w:hAnsi="新細明體" w:hint="eastAsia"/>
                <w:szCs w:val="18"/>
              </w:rPr>
              <w:t>‧</w:t>
            </w:r>
            <w:proofErr w:type="gramEnd"/>
            <w:r w:rsidRPr="00C70A3D">
              <w:rPr>
                <w:rFonts w:ascii="新細明體" w:eastAsia="新細明體" w:hAnsi="新細明體" w:hint="eastAsia"/>
                <w:szCs w:val="18"/>
              </w:rPr>
              <w:t>○</w:t>
            </w:r>
          </w:p>
        </w:tc>
        <w:tc>
          <w:tcPr>
            <w:tcW w:w="3563" w:type="dxa"/>
            <w:vMerge/>
          </w:tcPr>
          <w:p w:rsidR="00564284" w:rsidRPr="00C70A3D" w:rsidRDefault="00564284" w:rsidP="00903C6D">
            <w:pPr>
              <w:snapToGrid w:val="0"/>
              <w:jc w:val="both"/>
              <w:rPr>
                <w:rFonts w:ascii="新細明體" w:eastAsia="新細明體" w:hAnsi="新細明體"/>
                <w:szCs w:val="18"/>
              </w:rPr>
            </w:pPr>
          </w:p>
        </w:tc>
      </w:tr>
      <w:tr w:rsidR="00564284" w:rsidRPr="00C70A3D" w:rsidTr="00903C6D">
        <w:trPr>
          <w:cantSplit/>
          <w:trHeight w:val="1048"/>
          <w:jc w:val="center"/>
        </w:trPr>
        <w:tc>
          <w:tcPr>
            <w:tcW w:w="1668" w:type="dxa"/>
            <w:vAlign w:val="center"/>
          </w:tcPr>
          <w:p w:rsidR="00564284" w:rsidRPr="00C70A3D" w:rsidRDefault="00564284" w:rsidP="00903C6D">
            <w:pPr>
              <w:snapToGrid w:val="0"/>
              <w:ind w:left="57" w:right="57"/>
              <w:jc w:val="center"/>
              <w:rPr>
                <w:rFonts w:ascii="新細明體" w:eastAsia="新細明體" w:hAnsi="新細明體"/>
                <w:spacing w:val="-20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pacing w:val="-20"/>
                <w:szCs w:val="18"/>
              </w:rPr>
              <w:t>超過五億元</w:t>
            </w:r>
            <w:r>
              <w:rPr>
                <w:rFonts w:ascii="新細明體" w:eastAsia="新細明體" w:hAnsi="新細明體"/>
                <w:spacing w:val="-20"/>
                <w:szCs w:val="18"/>
              </w:rPr>
              <w:br/>
            </w:r>
            <w:r w:rsidRPr="00C70A3D">
              <w:rPr>
                <w:rFonts w:ascii="新細明體" w:eastAsia="新細明體" w:hAnsi="新細明體" w:hint="eastAsia"/>
                <w:spacing w:val="-20"/>
                <w:szCs w:val="18"/>
              </w:rPr>
              <w:t>至十億元部分</w:t>
            </w:r>
          </w:p>
        </w:tc>
        <w:tc>
          <w:tcPr>
            <w:tcW w:w="1560" w:type="dxa"/>
            <w:vAlign w:val="center"/>
          </w:tcPr>
          <w:p w:rsidR="00564284" w:rsidRPr="00C70A3D" w:rsidRDefault="00564284" w:rsidP="00903C6D">
            <w:pPr>
              <w:snapToGrid w:val="0"/>
              <w:ind w:left="57" w:right="57"/>
              <w:jc w:val="center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二</w:t>
            </w:r>
            <w:proofErr w:type="gramStart"/>
            <w:r w:rsidRPr="00C70A3D">
              <w:rPr>
                <w:rFonts w:ascii="新細明體" w:eastAsia="新細明體" w:hAnsi="新細明體" w:hint="eastAsia"/>
                <w:szCs w:val="18"/>
              </w:rPr>
              <w:t>‧</w:t>
            </w:r>
            <w:proofErr w:type="gramEnd"/>
            <w:r w:rsidRPr="00C70A3D">
              <w:rPr>
                <w:rFonts w:ascii="新細明體" w:eastAsia="新細明體" w:hAnsi="新細明體" w:hint="eastAsia"/>
                <w:szCs w:val="18"/>
              </w:rPr>
              <w:t>五</w:t>
            </w:r>
          </w:p>
        </w:tc>
        <w:tc>
          <w:tcPr>
            <w:tcW w:w="3563" w:type="dxa"/>
            <w:vMerge/>
          </w:tcPr>
          <w:p w:rsidR="00564284" w:rsidRPr="00C70A3D" w:rsidRDefault="00564284" w:rsidP="00903C6D">
            <w:pPr>
              <w:snapToGrid w:val="0"/>
              <w:jc w:val="both"/>
              <w:rPr>
                <w:rFonts w:ascii="新細明體" w:eastAsia="新細明體" w:hAnsi="新細明體"/>
                <w:szCs w:val="18"/>
              </w:rPr>
            </w:pPr>
          </w:p>
        </w:tc>
      </w:tr>
      <w:tr w:rsidR="00564284" w:rsidRPr="00C70A3D" w:rsidTr="00903C6D">
        <w:trPr>
          <w:cantSplit/>
          <w:trHeight w:val="1048"/>
          <w:jc w:val="center"/>
        </w:trPr>
        <w:tc>
          <w:tcPr>
            <w:tcW w:w="1668" w:type="dxa"/>
            <w:vAlign w:val="center"/>
          </w:tcPr>
          <w:p w:rsidR="00564284" w:rsidRPr="00C70A3D" w:rsidRDefault="00564284" w:rsidP="00903C6D">
            <w:pPr>
              <w:snapToGrid w:val="0"/>
              <w:ind w:left="57" w:right="57"/>
              <w:jc w:val="center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超過十億元部分</w:t>
            </w:r>
          </w:p>
        </w:tc>
        <w:tc>
          <w:tcPr>
            <w:tcW w:w="1560" w:type="dxa"/>
            <w:vAlign w:val="center"/>
          </w:tcPr>
          <w:p w:rsidR="00564284" w:rsidRPr="00C70A3D" w:rsidRDefault="00564284" w:rsidP="00903C6D">
            <w:pPr>
              <w:snapToGrid w:val="0"/>
              <w:ind w:left="57" w:right="57"/>
              <w:jc w:val="center"/>
              <w:rPr>
                <w:rFonts w:ascii="新細明體" w:eastAsia="新細明體" w:hAnsi="新細明體"/>
                <w:szCs w:val="18"/>
              </w:rPr>
            </w:pPr>
            <w:r w:rsidRPr="00C70A3D">
              <w:rPr>
                <w:rFonts w:ascii="新細明體" w:eastAsia="新細明體" w:hAnsi="新細明體" w:hint="eastAsia"/>
                <w:szCs w:val="18"/>
              </w:rPr>
              <w:t>二</w:t>
            </w:r>
            <w:proofErr w:type="gramStart"/>
            <w:r w:rsidRPr="00C70A3D">
              <w:rPr>
                <w:rFonts w:ascii="新細明體" w:eastAsia="新細明體" w:hAnsi="新細明體" w:hint="eastAsia"/>
                <w:szCs w:val="18"/>
              </w:rPr>
              <w:t>‧</w:t>
            </w:r>
            <w:proofErr w:type="gramEnd"/>
            <w:r w:rsidRPr="00C70A3D">
              <w:rPr>
                <w:rFonts w:ascii="新細明體" w:eastAsia="新細明體" w:hAnsi="新細明體" w:hint="eastAsia"/>
                <w:szCs w:val="18"/>
              </w:rPr>
              <w:t>二</w:t>
            </w:r>
          </w:p>
        </w:tc>
        <w:tc>
          <w:tcPr>
            <w:tcW w:w="3563" w:type="dxa"/>
            <w:vMerge/>
          </w:tcPr>
          <w:p w:rsidR="00564284" w:rsidRPr="00C70A3D" w:rsidRDefault="00564284" w:rsidP="00903C6D">
            <w:pPr>
              <w:snapToGrid w:val="0"/>
              <w:jc w:val="both"/>
              <w:rPr>
                <w:rFonts w:ascii="新細明體" w:eastAsia="新細明體" w:hAnsi="新細明體"/>
                <w:szCs w:val="18"/>
              </w:rPr>
            </w:pPr>
          </w:p>
        </w:tc>
      </w:tr>
    </w:tbl>
    <w:p w:rsidR="00564284" w:rsidRDefault="00564284" w:rsidP="00564284">
      <w:pPr>
        <w:pStyle w:val="0-"/>
        <w:spacing w:afterLines="50" w:after="180"/>
        <w:ind w:left="440" w:hanging="440"/>
        <w:jc w:val="center"/>
        <w:rPr>
          <w:b/>
          <w:sz w:val="22"/>
        </w:rPr>
      </w:pPr>
    </w:p>
    <w:p w:rsidR="00564284" w:rsidRPr="00FF1D2E" w:rsidRDefault="00564284" w:rsidP="00564284">
      <w:pPr>
        <w:pStyle w:val="0-"/>
        <w:spacing w:afterLines="50" w:after="180"/>
        <w:ind w:left="440" w:hanging="440"/>
        <w:jc w:val="center"/>
        <w:rPr>
          <w:b/>
          <w:sz w:val="22"/>
        </w:rPr>
      </w:pPr>
    </w:p>
    <w:p w:rsidR="00564284" w:rsidRPr="00FF1D2E" w:rsidRDefault="00564284" w:rsidP="00564284">
      <w:pPr>
        <w:snapToGrid w:val="0"/>
        <w:rPr>
          <w:b/>
          <w:sz w:val="22"/>
          <w:szCs w:val="21"/>
        </w:rPr>
      </w:pPr>
    </w:p>
    <w:p w:rsidR="0073197B" w:rsidRPr="00564284" w:rsidRDefault="0073197B" w:rsidP="00564284">
      <w:pPr>
        <w:widowControl/>
        <w:rPr>
          <w:sz w:val="21"/>
          <w:szCs w:val="21"/>
        </w:rPr>
      </w:pPr>
      <w:bookmarkStart w:id="0" w:name="_GoBack"/>
      <w:bookmarkEnd w:id="0"/>
    </w:p>
    <w:sectPr w:rsidR="0073197B" w:rsidRPr="005642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84"/>
    <w:rsid w:val="002F3080"/>
    <w:rsid w:val="00423706"/>
    <w:rsid w:val="00564284"/>
    <w:rsid w:val="005E474C"/>
    <w:rsid w:val="0072712B"/>
    <w:rsid w:val="0073197B"/>
    <w:rsid w:val="009F1CF9"/>
    <w:rsid w:val="00A00DEF"/>
    <w:rsid w:val="00AF486E"/>
    <w:rsid w:val="00B77E9C"/>
    <w:rsid w:val="00BE2313"/>
    <w:rsid w:val="00C36285"/>
    <w:rsid w:val="00DE5F3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4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1100">
    <w:name w:val="0-第1~100條"/>
    <w:basedOn w:val="a"/>
    <w:qFormat/>
    <w:rsid w:val="00564284"/>
    <w:pPr>
      <w:kinsoku w:val="0"/>
      <w:overflowPunct w:val="0"/>
      <w:snapToGrid w:val="0"/>
      <w:spacing w:line="250" w:lineRule="exact"/>
      <w:ind w:left="1470" w:hangingChars="700" w:hanging="1470"/>
      <w:jc w:val="both"/>
    </w:pPr>
    <w:rPr>
      <w:sz w:val="21"/>
      <w:szCs w:val="21"/>
    </w:rPr>
  </w:style>
  <w:style w:type="paragraph" w:customStyle="1" w:styleId="0-">
    <w:name w:val="0-一."/>
    <w:basedOn w:val="0-1100"/>
    <w:qFormat/>
    <w:rsid w:val="00564284"/>
    <w:pPr>
      <w:ind w:left="420" w:hangingChars="200" w:hanging="420"/>
    </w:pPr>
  </w:style>
  <w:style w:type="paragraph" w:styleId="a3">
    <w:name w:val="Body Text Indent"/>
    <w:basedOn w:val="a"/>
    <w:link w:val="a4"/>
    <w:rsid w:val="00564284"/>
    <w:pPr>
      <w:ind w:left="640" w:hangingChars="200" w:hanging="640"/>
    </w:pPr>
    <w:rPr>
      <w:sz w:val="32"/>
    </w:rPr>
  </w:style>
  <w:style w:type="character" w:customStyle="1" w:styleId="a4">
    <w:name w:val="本文縮排 字元"/>
    <w:basedOn w:val="a0"/>
    <w:link w:val="a3"/>
    <w:rsid w:val="00564284"/>
    <w:rPr>
      <w:rFonts w:ascii="標楷體" w:eastAsia="標楷體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4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1100">
    <w:name w:val="0-第1~100條"/>
    <w:basedOn w:val="a"/>
    <w:qFormat/>
    <w:rsid w:val="00564284"/>
    <w:pPr>
      <w:kinsoku w:val="0"/>
      <w:overflowPunct w:val="0"/>
      <w:snapToGrid w:val="0"/>
      <w:spacing w:line="250" w:lineRule="exact"/>
      <w:ind w:left="1470" w:hangingChars="700" w:hanging="1470"/>
      <w:jc w:val="both"/>
    </w:pPr>
    <w:rPr>
      <w:sz w:val="21"/>
      <w:szCs w:val="21"/>
    </w:rPr>
  </w:style>
  <w:style w:type="paragraph" w:customStyle="1" w:styleId="0-">
    <w:name w:val="0-一."/>
    <w:basedOn w:val="0-1100"/>
    <w:qFormat/>
    <w:rsid w:val="00564284"/>
    <w:pPr>
      <w:ind w:left="420" w:hangingChars="200" w:hanging="420"/>
    </w:pPr>
  </w:style>
  <w:style w:type="paragraph" w:styleId="a3">
    <w:name w:val="Body Text Indent"/>
    <w:basedOn w:val="a"/>
    <w:link w:val="a4"/>
    <w:rsid w:val="00564284"/>
    <w:pPr>
      <w:ind w:left="640" w:hangingChars="200" w:hanging="640"/>
    </w:pPr>
    <w:rPr>
      <w:sz w:val="32"/>
    </w:rPr>
  </w:style>
  <w:style w:type="character" w:customStyle="1" w:styleId="a4">
    <w:name w:val="本文縮排 字元"/>
    <w:basedOn w:val="a0"/>
    <w:link w:val="a3"/>
    <w:rsid w:val="00564284"/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2019-02-15T08:55:00Z</dcterms:created>
  <dcterms:modified xsi:type="dcterms:W3CDTF">2019-02-15T08:55:00Z</dcterms:modified>
</cp:coreProperties>
</file>