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BB" w:rsidRDefault="002617BB" w:rsidP="002617BB">
      <w:pPr>
        <w:pStyle w:val="0-"/>
        <w:rPr>
          <w:sz w:val="16"/>
          <w:szCs w:val="16"/>
        </w:rPr>
      </w:pPr>
      <w:r>
        <w:rPr>
          <w:rFonts w:hint="eastAsia"/>
        </w:rPr>
        <w:t>附件二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623"/>
        <w:gridCol w:w="3287"/>
        <w:gridCol w:w="4396"/>
      </w:tblGrid>
      <w:tr w:rsidR="002617BB" w:rsidRPr="009F7BD7" w:rsidTr="00CF0E18">
        <w:trPr>
          <w:trHeight w:val="284"/>
          <w:jc w:val="center"/>
        </w:trPr>
        <w:tc>
          <w:tcPr>
            <w:tcW w:w="9606" w:type="dxa"/>
            <w:gridSpan w:val="3"/>
          </w:tcPr>
          <w:p w:rsidR="002617BB" w:rsidRPr="009F7BD7" w:rsidRDefault="002617BB" w:rsidP="00CF0E18">
            <w:pPr>
              <w:snapToGrid w:val="0"/>
              <w:rPr>
                <w:rFonts w:hAnsi="標楷體"/>
                <w:b/>
                <w:sz w:val="32"/>
                <w:szCs w:val="36"/>
              </w:rPr>
            </w:pPr>
            <w:r w:rsidRPr="009F7BD7">
              <w:rPr>
                <w:rFonts w:hAnsi="標楷體" w:hint="eastAsia"/>
                <w:b/>
                <w:sz w:val="32"/>
                <w:szCs w:val="36"/>
              </w:rPr>
              <w:t>法務部廉政署識別碼及密碼使用人權限配置表</w:t>
            </w:r>
          </w:p>
        </w:tc>
      </w:tr>
      <w:tr w:rsidR="002617BB" w:rsidRPr="00396CC6" w:rsidTr="00CF0E18">
        <w:trPr>
          <w:trHeight w:val="284"/>
          <w:jc w:val="center"/>
        </w:trPr>
        <w:tc>
          <w:tcPr>
            <w:tcW w:w="696" w:type="dxa"/>
          </w:tcPr>
          <w:p w:rsidR="002617BB" w:rsidRPr="009F7BD7" w:rsidRDefault="002617BB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組別</w:t>
            </w:r>
          </w:p>
        </w:tc>
        <w:tc>
          <w:tcPr>
            <w:tcW w:w="3807" w:type="dxa"/>
          </w:tcPr>
          <w:p w:rsidR="002617BB" w:rsidRPr="009F7BD7" w:rsidRDefault="002617BB" w:rsidP="00CF0E18">
            <w:pPr>
              <w:snapToGrid w:val="0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人員</w:t>
            </w:r>
          </w:p>
        </w:tc>
        <w:tc>
          <w:tcPr>
            <w:tcW w:w="5103" w:type="dxa"/>
          </w:tcPr>
          <w:p w:rsidR="002617BB" w:rsidRPr="009F7BD7" w:rsidRDefault="002617BB" w:rsidP="00CF0E18">
            <w:pPr>
              <w:snapToGrid w:val="0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查詢權限</w:t>
            </w:r>
          </w:p>
        </w:tc>
      </w:tr>
      <w:tr w:rsidR="002617BB" w:rsidRPr="00396CC6" w:rsidTr="00CF0E18">
        <w:trPr>
          <w:trHeight w:val="284"/>
          <w:jc w:val="center"/>
        </w:trPr>
        <w:tc>
          <w:tcPr>
            <w:tcW w:w="696" w:type="dxa"/>
          </w:tcPr>
          <w:p w:rsidR="002617BB" w:rsidRPr="009F7BD7" w:rsidRDefault="002617BB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第一組</w:t>
            </w:r>
          </w:p>
        </w:tc>
        <w:tc>
          <w:tcPr>
            <w:tcW w:w="3807" w:type="dxa"/>
          </w:tcPr>
          <w:p w:rsidR="002617BB" w:rsidRPr="009F7BD7" w:rsidRDefault="002617BB" w:rsidP="00CF0E18">
            <w:pPr>
              <w:snapToGrid w:val="0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檢察官</w:t>
            </w:r>
          </w:p>
        </w:tc>
        <w:tc>
          <w:tcPr>
            <w:tcW w:w="5103" w:type="dxa"/>
          </w:tcPr>
          <w:p w:rsidR="002617BB" w:rsidRPr="009F7BD7" w:rsidRDefault="002617BB" w:rsidP="00CF0E18">
            <w:pPr>
              <w:snapToGrid w:val="0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依檢察官原有配置權限</w:t>
            </w:r>
          </w:p>
        </w:tc>
      </w:tr>
      <w:tr w:rsidR="002617BB" w:rsidRPr="00396CC6" w:rsidTr="00CF0E18">
        <w:trPr>
          <w:trHeight w:val="284"/>
          <w:jc w:val="center"/>
        </w:trPr>
        <w:tc>
          <w:tcPr>
            <w:tcW w:w="696" w:type="dxa"/>
          </w:tcPr>
          <w:p w:rsidR="002617BB" w:rsidRPr="009F7BD7" w:rsidRDefault="002617BB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第二組</w:t>
            </w:r>
          </w:p>
        </w:tc>
        <w:tc>
          <w:tcPr>
            <w:tcW w:w="3807" w:type="dxa"/>
          </w:tcPr>
          <w:p w:rsidR="002617BB" w:rsidRPr="009F7BD7" w:rsidRDefault="002617BB" w:rsidP="00CF0E18">
            <w:pPr>
              <w:snapToGrid w:val="0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廉政官</w:t>
            </w:r>
          </w:p>
        </w:tc>
        <w:tc>
          <w:tcPr>
            <w:tcW w:w="5103" w:type="dxa"/>
          </w:tcPr>
          <w:p w:rsidR="002617BB" w:rsidRPr="009F7BD7" w:rsidRDefault="002617BB" w:rsidP="00CF0E18">
            <w:pPr>
              <w:snapToGrid w:val="0"/>
              <w:rPr>
                <w:rFonts w:hAnsi="標楷體"/>
                <w:b/>
                <w:szCs w:val="22"/>
              </w:rPr>
            </w:pPr>
            <w:r w:rsidRPr="009F7BD7">
              <w:rPr>
                <w:rFonts w:hAnsi="標楷體" w:hint="eastAsia"/>
                <w:b/>
                <w:szCs w:val="22"/>
              </w:rPr>
              <w:t>內部系統：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檢察書類檢索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司法院單一窗口（裁判書類查詢）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刑案智慧查詢系統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刑案查詢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b/>
                <w:szCs w:val="22"/>
              </w:rPr>
            </w:pPr>
            <w:r w:rsidRPr="009F7BD7">
              <w:rPr>
                <w:rFonts w:hAnsi="標楷體" w:hint="eastAsia"/>
                <w:b/>
                <w:szCs w:val="22"/>
              </w:rPr>
              <w:t>外部連線系統：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戶役政資訊電子閘門作業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公路監理資訊連結作業</w:t>
            </w:r>
          </w:p>
        </w:tc>
      </w:tr>
      <w:tr w:rsidR="002617BB" w:rsidRPr="00396CC6" w:rsidTr="00CF0E18">
        <w:trPr>
          <w:trHeight w:val="284"/>
          <w:jc w:val="center"/>
        </w:trPr>
        <w:tc>
          <w:tcPr>
            <w:tcW w:w="696" w:type="dxa"/>
          </w:tcPr>
          <w:p w:rsidR="002617BB" w:rsidRPr="009F7BD7" w:rsidRDefault="002617BB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第三組</w:t>
            </w:r>
          </w:p>
        </w:tc>
        <w:tc>
          <w:tcPr>
            <w:tcW w:w="3807" w:type="dxa"/>
          </w:tcPr>
          <w:p w:rsidR="002617BB" w:rsidRPr="009F7BD7" w:rsidRDefault="002617BB" w:rsidP="00CF0E18">
            <w:pPr>
              <w:snapToGrid w:val="0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專責查詢人員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（</w:t>
            </w:r>
            <w:proofErr w:type="gramStart"/>
            <w:r w:rsidRPr="009F7BD7">
              <w:rPr>
                <w:rFonts w:hAnsi="標楷體" w:hint="eastAsia"/>
                <w:sz w:val="20"/>
                <w:szCs w:val="28"/>
              </w:rPr>
              <w:t>肅</w:t>
            </w:r>
            <w:proofErr w:type="gramEnd"/>
            <w:r w:rsidRPr="009F7BD7">
              <w:rPr>
                <w:rFonts w:hAnsi="標楷體" w:hint="eastAsia"/>
                <w:sz w:val="20"/>
                <w:szCs w:val="28"/>
              </w:rPr>
              <w:t>貪組、各地區調查組）</w:t>
            </w:r>
          </w:p>
        </w:tc>
        <w:tc>
          <w:tcPr>
            <w:tcW w:w="5103" w:type="dxa"/>
          </w:tcPr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稅務電子閘門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行動</w:t>
            </w:r>
            <w:r w:rsidRPr="009F7BD7">
              <w:rPr>
                <w:rFonts w:hAnsi="標楷體"/>
                <w:szCs w:val="22"/>
              </w:rPr>
              <w:t>/</w:t>
            </w:r>
            <w:r w:rsidRPr="009F7BD7">
              <w:rPr>
                <w:rFonts w:hAnsi="標楷體" w:hint="eastAsia"/>
                <w:szCs w:val="22"/>
              </w:rPr>
              <w:t>市內電話資訊連結作業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三親等資訊連結作業系統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地政資訊網際網路作業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刑案知識庫資訊連結作業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高額壽險資訊連結作業</w:t>
            </w:r>
            <w:r w:rsidRPr="009F7BD7">
              <w:rPr>
                <w:rFonts w:hAnsi="標楷體"/>
                <w:szCs w:val="22"/>
              </w:rPr>
              <w:t>(保險業通報作業系統)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保險犯罪防治資訊連結作業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勞保資訊連結作業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入出境資訊連結作業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公司影像調閱系統／</w:t>
            </w:r>
            <w:r w:rsidRPr="009F7BD7">
              <w:rPr>
                <w:rFonts w:hAnsi="標楷體"/>
                <w:szCs w:val="22"/>
              </w:rPr>
              <w:t>(</w:t>
            </w:r>
            <w:r w:rsidRPr="009F7BD7">
              <w:rPr>
                <w:rFonts w:hAnsi="標楷體" w:hint="eastAsia"/>
                <w:szCs w:val="22"/>
              </w:rPr>
              <w:t>商工登記資料</w:t>
            </w:r>
            <w:r w:rsidRPr="009F7BD7">
              <w:rPr>
                <w:rFonts w:hAnsi="標楷體"/>
                <w:szCs w:val="22"/>
              </w:rPr>
              <w:t>)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票據信用資訊連結作業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2"/>
              </w:rPr>
            </w:pPr>
            <w:r w:rsidRPr="009F7BD7">
              <w:rPr>
                <w:rFonts w:hAnsi="標楷體" w:hint="eastAsia"/>
                <w:szCs w:val="22"/>
              </w:rPr>
              <w:t>健保資訊連結作業</w:t>
            </w:r>
          </w:p>
          <w:p w:rsidR="002617BB" w:rsidRPr="009F7BD7" w:rsidRDefault="002617BB" w:rsidP="00CF0E18">
            <w:pPr>
              <w:snapToGrid w:val="0"/>
              <w:rPr>
                <w:rFonts w:hAnsi="標楷體"/>
                <w:szCs w:val="20"/>
              </w:rPr>
            </w:pPr>
            <w:r w:rsidRPr="009F7BD7">
              <w:rPr>
                <w:rFonts w:hAnsi="標楷體" w:hint="eastAsia"/>
                <w:szCs w:val="22"/>
              </w:rPr>
              <w:t>營利事業關係人資料查詢</w:t>
            </w:r>
          </w:p>
        </w:tc>
      </w:tr>
    </w:tbl>
    <w:p w:rsidR="002617BB" w:rsidRPr="009F7BD7" w:rsidRDefault="002617BB" w:rsidP="002617BB"/>
    <w:p w:rsidR="002617BB" w:rsidRDefault="002617BB" w:rsidP="002617BB">
      <w:pPr>
        <w:widowControl/>
      </w:pPr>
      <w:r>
        <w:br w:type="page"/>
      </w:r>
    </w:p>
    <w:p w:rsidR="0073197B" w:rsidRPr="002617BB" w:rsidRDefault="0073197B">
      <w:bookmarkStart w:id="0" w:name="_GoBack"/>
      <w:bookmarkEnd w:id="0"/>
    </w:p>
    <w:sectPr w:rsidR="0073197B" w:rsidRPr="00261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BB"/>
    <w:rsid w:val="002617BB"/>
    <w:rsid w:val="002F3080"/>
    <w:rsid w:val="00423706"/>
    <w:rsid w:val="005E474C"/>
    <w:rsid w:val="0072712B"/>
    <w:rsid w:val="0073197B"/>
    <w:rsid w:val="009F1CF9"/>
    <w:rsid w:val="00A00DEF"/>
    <w:rsid w:val="00AF486E"/>
    <w:rsid w:val="00B77E9C"/>
    <w:rsid w:val="00BE2313"/>
    <w:rsid w:val="00C36285"/>
    <w:rsid w:val="00DE5F3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B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">
    <w:name w:val="0-一."/>
    <w:basedOn w:val="a"/>
    <w:qFormat/>
    <w:rsid w:val="002617BB"/>
    <w:pPr>
      <w:kinsoku w:val="0"/>
      <w:overflowPunct w:val="0"/>
      <w:snapToGrid w:val="0"/>
      <w:spacing w:line="250" w:lineRule="exact"/>
      <w:ind w:left="420" w:hangingChars="200" w:hanging="420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B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">
    <w:name w:val="0-一."/>
    <w:basedOn w:val="a"/>
    <w:qFormat/>
    <w:rsid w:val="002617BB"/>
    <w:pPr>
      <w:kinsoku w:val="0"/>
      <w:overflowPunct w:val="0"/>
      <w:snapToGrid w:val="0"/>
      <w:spacing w:line="250" w:lineRule="exact"/>
      <w:ind w:left="420" w:hangingChars="200" w:hanging="42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2019-02-20T02:43:00Z</dcterms:created>
  <dcterms:modified xsi:type="dcterms:W3CDTF">2019-02-20T02:43:00Z</dcterms:modified>
</cp:coreProperties>
</file>