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70601B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4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A42F7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F44C71" w:rsidRDefault="00F44C71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44C71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編印《民間汽車檢驗員倫理手冊》案，提請  審議。</w:t>
            </w:r>
          </w:p>
        </w:tc>
      </w:tr>
      <w:tr w:rsidR="00A972B1" w:rsidRPr="00D95992" w:rsidTr="00F44C71">
        <w:trPr>
          <w:trHeight w:val="1124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A42F7B" w:rsidRPr="00F44C71" w:rsidRDefault="00F44C71" w:rsidP="00F44C7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401D5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「法律」是道德倫理的基本要求與最低標準，對於不當的違失行為固然可以產生強制、警示及懲戒作用，但面對「法有時而窮」的現實，往往只能達到消極性的防弊，無法做到積極的興利，甚至讓部分投機人士在灰色地帶上，產生偏離常軌或不利於社會公義的行為。</w:t>
            </w:r>
          </w:p>
          <w:p w:rsidR="00F44C71" w:rsidRPr="00F44C71" w:rsidRDefault="00F44C71" w:rsidP="00F44C7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401D5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「倫理」的首要意義，在建立專業人員應有的認知與實踐原則及應遵循的行為規範，同時可維護及增進專業人員的正直、榮譽、尊嚴及職業道德，使其利用所學之專業知識及素養提供服務，並善盡社會責任，達成增進社會福祉的目的。因此，倫理行為是社會所認同的一致性職業行為規範、定律及原則，如工程會訂有「</w:t>
            </w:r>
            <w:r w:rsidRPr="00401D56">
              <w:rPr>
                <w:rFonts w:ascii="標楷體" w:eastAsia="標楷體" w:hAnsi="標楷體" w:cstheme="minorBidi" w:hint="eastAsia"/>
                <w:sz w:val="32"/>
                <w:szCs w:val="32"/>
              </w:rPr>
              <w:t>工程倫理手冊</w:t>
            </w:r>
            <w:r w:rsidRPr="00401D5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」及「</w:t>
            </w:r>
            <w:r w:rsidRPr="00401D56">
              <w:rPr>
                <w:rFonts w:ascii="標楷體" w:eastAsia="標楷體" w:hAnsi="標楷體" w:cstheme="minorBidi" w:hint="eastAsia"/>
                <w:sz w:val="32"/>
                <w:szCs w:val="32"/>
              </w:rPr>
              <w:t>採購人員倫理守則</w:t>
            </w:r>
            <w:r w:rsidRPr="00401D5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」。</w:t>
            </w:r>
          </w:p>
          <w:p w:rsidR="00F44C71" w:rsidRPr="00F44C71" w:rsidRDefault="00F44C71" w:rsidP="00F44C71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F44C71">
              <w:rPr>
                <w:rFonts w:ascii="標楷體" w:eastAsia="標楷體" w:hAnsi="標楷體" w:hint="eastAsia"/>
                <w:sz w:val="32"/>
                <w:szCs w:val="32"/>
              </w:rPr>
              <w:t>民間代檢業者受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r w:rsidRPr="00F44C71">
              <w:rPr>
                <w:rFonts w:ascii="標楷體" w:eastAsia="標楷體" w:hAnsi="標楷體" w:hint="eastAsia"/>
                <w:sz w:val="32"/>
                <w:szCs w:val="32"/>
              </w:rPr>
              <w:t>局委託辦理汽車檢驗業務，屬「公權力事項之行使」，業者在執行該項業務時，具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有</w:t>
            </w:r>
            <w:r w:rsidRPr="00F44C71">
              <w:rPr>
                <w:rFonts w:ascii="標楷體" w:eastAsia="標楷體" w:hAnsi="標楷體" w:hint="eastAsia"/>
                <w:sz w:val="32"/>
                <w:szCs w:val="32"/>
              </w:rPr>
              <w:t>刑法公務員的身分，能本於專業、負責的態度，公證履行檢驗業務，可有效提昇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人民對於政府之信賴。本</w:t>
            </w:r>
            <w:r w:rsidRPr="00F44C71">
              <w:rPr>
                <w:rFonts w:ascii="標楷體" w:eastAsia="標楷體" w:hAnsi="標楷體" w:hint="eastAsia"/>
                <w:sz w:val="32"/>
                <w:szCs w:val="32"/>
              </w:rPr>
              <w:t>局為建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立檢驗人員及代檢業者執行職務應有的認知及應遵循的行為規範，爰研編《民間汽車檢驗員倫理手冊》</w:t>
            </w:r>
            <w:r w:rsidRPr="00F44C71">
              <w:rPr>
                <w:rFonts w:ascii="標楷體" w:eastAsia="標楷體" w:hAnsi="標楷體" w:hint="eastAsia"/>
                <w:sz w:val="32"/>
                <w:szCs w:val="32"/>
              </w:rPr>
              <w:t>，以簡明之方式提供檢驗人員於執行業務時參考，並作為職務教育訓練教材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401D56">
              <w:rPr>
                <w:rFonts w:ascii="標楷體" w:eastAsia="標楷體" w:hAnsiTheme="minorHAnsi" w:cs="標楷體" w:hint="eastAsia"/>
                <w:bCs/>
                <w:kern w:val="0"/>
                <w:sz w:val="32"/>
                <w:szCs w:val="32"/>
              </w:rPr>
              <w:t>更加提升檢驗員之</w:t>
            </w:r>
            <w:r w:rsidRPr="00401D5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正直、榮譽、尊嚴及職業道德</w:t>
            </w:r>
            <w:r w:rsidRPr="00F44C71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F44C71" w:rsidRPr="00A42F7B" w:rsidRDefault="00F44C71" w:rsidP="00A42F7B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401D56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lastRenderedPageBreak/>
              <w:t>本手冊之編撰內容包括倫理守則、社會責任、法律責任、錯誤態樣及案例。</w:t>
            </w:r>
          </w:p>
        </w:tc>
      </w:tr>
      <w:tr w:rsidR="00A972B1" w:rsidTr="00A42F7B">
        <w:trPr>
          <w:trHeight w:val="1833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A42F7B" w:rsidRPr="00F44C71" w:rsidRDefault="00F44C71" w:rsidP="00F44C71">
            <w:pPr>
              <w:adjustRightInd w:val="0"/>
              <w:snapToGrid w:val="0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803F58">
              <w:rPr>
                <w:rFonts w:ascii="標楷體" w:eastAsia="標楷體" w:hAnsi="標楷體" w:cstheme="minorBidi" w:hint="eastAsia"/>
                <w:bCs/>
                <w:sz w:val="32"/>
                <w:szCs w:val="32"/>
              </w:rPr>
              <w:t>本手冊由</w:t>
            </w:r>
            <w:r w:rsidRPr="00803F58">
              <w:rPr>
                <w:rFonts w:ascii="標楷體" w:eastAsia="標楷體" w:hAnsi="標楷體" w:cstheme="minorBidi" w:hint="eastAsia"/>
                <w:sz w:val="32"/>
                <w:szCs w:val="32"/>
              </w:rPr>
              <w:t>政風室負責編印、</w:t>
            </w:r>
            <w:r w:rsidRPr="00F44C71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 w:rsidRPr="00803F58">
              <w:rPr>
                <w:rFonts w:ascii="標楷體" w:eastAsia="標楷體" w:hAnsi="標楷體" w:cstheme="minorBidi" w:hint="eastAsia"/>
                <w:sz w:val="32"/>
                <w:szCs w:val="32"/>
              </w:rPr>
              <w:t>組協助提供</w:t>
            </w:r>
            <w:r w:rsidRPr="00803F58">
              <w:rPr>
                <w:rFonts w:ascii="標楷體" w:eastAsia="標楷體" w:hAnsiTheme="minorHAnsi" w:cs="標楷體" w:hint="eastAsia"/>
                <w:kern w:val="0"/>
                <w:sz w:val="32"/>
                <w:szCs w:val="32"/>
              </w:rPr>
              <w:t>錯誤態樣及案例等</w:t>
            </w:r>
            <w:r w:rsidRPr="00803F58">
              <w:rPr>
                <w:rFonts w:ascii="標楷體" w:eastAsia="標楷體" w:hAnsi="標楷體" w:cstheme="minorBidi" w:hint="eastAsia"/>
                <w:sz w:val="32"/>
                <w:szCs w:val="32"/>
              </w:rPr>
              <w:t>相關資料，並請</w:t>
            </w:r>
            <w:r w:rsidRPr="00F44C71">
              <w:rPr>
                <w:rFonts w:ascii="標楷體" w:eastAsia="標楷體" w:hAnsi="標楷體" w:cs="標楷體" w:hint="eastAsia"/>
                <w:sz w:val="32"/>
                <w:szCs w:val="32"/>
              </w:rPr>
              <w:t>○○</w:t>
            </w:r>
            <w:r>
              <w:rPr>
                <w:rFonts w:ascii="標楷體" w:eastAsia="標楷體" w:hAnsi="標楷體" w:cs="標楷體" w:hint="eastAsia"/>
                <w:sz w:val="32"/>
                <w:szCs w:val="32"/>
              </w:rPr>
              <w:t>代檢</w:t>
            </w:r>
            <w:r w:rsidRPr="00803F58">
              <w:rPr>
                <w:rFonts w:ascii="標楷體" w:eastAsia="標楷體" w:hAnsi="標楷體" w:cstheme="minorBidi" w:hint="eastAsia"/>
                <w:sz w:val="32"/>
                <w:szCs w:val="32"/>
              </w:rPr>
              <w:t>協會提供意見，編印完成後發送各區監理所轄管</w:t>
            </w:r>
            <w:r w:rsidRPr="00803F58">
              <w:rPr>
                <w:rFonts w:ascii="標楷體" w:eastAsia="標楷體" w:hAnsi="標楷體" w:cstheme="minorBidi" w:hint="eastAsia"/>
                <w:bCs/>
                <w:sz w:val="32"/>
                <w:szCs w:val="32"/>
              </w:rPr>
              <w:t>代檢廠</w:t>
            </w:r>
            <w:r w:rsidRPr="00803F58">
              <w:rPr>
                <w:rFonts w:ascii="標楷體" w:eastAsia="標楷體" w:hAnsi="標楷體" w:cstheme="minorBidi" w:hint="eastAsia"/>
                <w:sz w:val="32"/>
                <w:szCs w:val="32"/>
              </w:rPr>
              <w:t>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31" w:rsidRDefault="00B71331" w:rsidP="0097495D">
      <w:pPr>
        <w:spacing w:line="240" w:lineRule="auto"/>
      </w:pPr>
      <w:r>
        <w:separator/>
      </w:r>
    </w:p>
  </w:endnote>
  <w:endnote w:type="continuationSeparator" w:id="0">
    <w:p w:rsidR="00B71331" w:rsidRDefault="00B71331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31" w:rsidRDefault="00B71331" w:rsidP="0097495D">
      <w:pPr>
        <w:spacing w:line="240" w:lineRule="auto"/>
      </w:pPr>
      <w:r>
        <w:separator/>
      </w:r>
    </w:p>
  </w:footnote>
  <w:footnote w:type="continuationSeparator" w:id="0">
    <w:p w:rsidR="00B71331" w:rsidRDefault="00B71331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A532E"/>
    <w:rsid w:val="001E0BF1"/>
    <w:rsid w:val="002042A4"/>
    <w:rsid w:val="002062B3"/>
    <w:rsid w:val="002710DB"/>
    <w:rsid w:val="00281DE8"/>
    <w:rsid w:val="002850A2"/>
    <w:rsid w:val="002B6110"/>
    <w:rsid w:val="002C1DA4"/>
    <w:rsid w:val="003154E3"/>
    <w:rsid w:val="00380710"/>
    <w:rsid w:val="004118EB"/>
    <w:rsid w:val="004255EE"/>
    <w:rsid w:val="00432EDE"/>
    <w:rsid w:val="004851D9"/>
    <w:rsid w:val="004A39C8"/>
    <w:rsid w:val="004D18E6"/>
    <w:rsid w:val="004E155F"/>
    <w:rsid w:val="005324A3"/>
    <w:rsid w:val="006120C5"/>
    <w:rsid w:val="00627F12"/>
    <w:rsid w:val="006702AC"/>
    <w:rsid w:val="006D1626"/>
    <w:rsid w:val="0070601B"/>
    <w:rsid w:val="00765060"/>
    <w:rsid w:val="007840A9"/>
    <w:rsid w:val="007D37E1"/>
    <w:rsid w:val="007F0D10"/>
    <w:rsid w:val="008630F4"/>
    <w:rsid w:val="008C2579"/>
    <w:rsid w:val="0097495D"/>
    <w:rsid w:val="009A1FA1"/>
    <w:rsid w:val="009B05E5"/>
    <w:rsid w:val="00A3771B"/>
    <w:rsid w:val="00A42F7B"/>
    <w:rsid w:val="00A972B1"/>
    <w:rsid w:val="00B15C97"/>
    <w:rsid w:val="00B71331"/>
    <w:rsid w:val="00C13D4F"/>
    <w:rsid w:val="00C51926"/>
    <w:rsid w:val="00C73D15"/>
    <w:rsid w:val="00CF0307"/>
    <w:rsid w:val="00D16330"/>
    <w:rsid w:val="00DC088B"/>
    <w:rsid w:val="00F44C71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2D9D-11CA-41A2-9AA9-7CEFDE06A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>MOJ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3</cp:revision>
  <cp:lastPrinted>2015-04-20T03:49:00Z</cp:lastPrinted>
  <dcterms:created xsi:type="dcterms:W3CDTF">2016-03-13T05:29:00Z</dcterms:created>
  <dcterms:modified xsi:type="dcterms:W3CDTF">2016-10-14T08:29:00Z</dcterms:modified>
</cp:coreProperties>
</file>