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5B411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6278F4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人事</w:t>
            </w:r>
            <w:r w:rsidR="00A3771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處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6278F4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55143">
              <w:rPr>
                <w:rFonts w:ascii="標楷體" w:eastAsia="標楷體" w:hAnsi="標楷體" w:hint="eastAsia"/>
                <w:bCs/>
                <w:sz w:val="32"/>
                <w:szCs w:val="32"/>
              </w:rPr>
              <w:t>加強宣導公務員不得經營商業及違法投資規定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，提請  審議。</w:t>
            </w:r>
          </w:p>
        </w:tc>
      </w:tr>
      <w:tr w:rsidR="00A972B1" w:rsidRPr="00D95992" w:rsidTr="006278F4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0B09F5" w:rsidRPr="006278F4" w:rsidRDefault="006278F4" w:rsidP="006278F4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278F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公務員服務法（以下簡稱服務法）第13條規定：「（第1項）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（第2項）公務員非依法不得兼公營事業機關或公司代表官股之董事或監察人。（第4項）公務員違反第1項、第2項…之規定者，應先予撤職。」另司法院37年6月21日院解字第4017號解釋略以，服務法第13條第4項所謂先予撤職，即係先行停職之意，撤職後仍應依法送請懲戒。爰此，公務員如有上開經營商業或投資之行為，即與法未合，其所受之處分，嚴重者，將影響其服公職之權益。</w:t>
            </w:r>
          </w:p>
          <w:p w:rsidR="006278F4" w:rsidRPr="006278F4" w:rsidRDefault="006278F4" w:rsidP="006278F4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96A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審計部前於本年5月囑請各機關專案調查所提供之「軍、公、教及國營事業人員具公司（商號）負責人、公司董監事身分情形表」所列人員有無違法經營商業之兼職情形，經查本部及所屬機關有少數同仁違反規定，應予究責（移付懲戒），為避免日後仍有同仁因不諳法令，或因疏忽而遭懲戒，爰擬加強宣導上開服務法相關規定，以避免機關同仁違法經營商業或投資之情事再次</w:t>
            </w:r>
            <w:r w:rsidRPr="00696A7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發生。</w:t>
            </w:r>
          </w:p>
        </w:tc>
      </w:tr>
      <w:tr w:rsidR="00A972B1" w:rsidTr="006278F4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1E0BF1" w:rsidRPr="002710DB" w:rsidRDefault="006278F4" w:rsidP="006278F4">
            <w:pPr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93A9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請所屬各機關利用多元管道加強宣導公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務員禁止經營商業或違法投資之規定，以避免同仁違法情形再次發生，</w:t>
            </w:r>
            <w:r w:rsidRPr="00293A9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維護法務機關整體形象。</w:t>
            </w:r>
          </w:p>
        </w:tc>
      </w:tr>
      <w:tr w:rsidR="00A972B1" w:rsidTr="001A532E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</w:tcPr>
          <w:p w:rsidR="00A972B1" w:rsidRDefault="00A972B1" w:rsidP="008F5297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E5" w:rsidRDefault="00465FE5" w:rsidP="0097495D">
      <w:pPr>
        <w:spacing w:line="240" w:lineRule="auto"/>
      </w:pPr>
      <w:r>
        <w:separator/>
      </w:r>
    </w:p>
  </w:endnote>
  <w:endnote w:type="continuationSeparator" w:id="0">
    <w:p w:rsidR="00465FE5" w:rsidRDefault="00465FE5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E5" w:rsidRDefault="00465FE5" w:rsidP="0097495D">
      <w:pPr>
        <w:spacing w:line="240" w:lineRule="auto"/>
      </w:pPr>
      <w:r>
        <w:separator/>
      </w:r>
    </w:p>
  </w:footnote>
  <w:footnote w:type="continuationSeparator" w:id="0">
    <w:p w:rsidR="00465FE5" w:rsidRDefault="00465FE5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25A0"/>
    <w:multiLevelType w:val="hybridMultilevel"/>
    <w:tmpl w:val="4562484E"/>
    <w:lvl w:ilvl="0" w:tplc="679058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1A532E"/>
    <w:rsid w:val="001E0BF1"/>
    <w:rsid w:val="002042A4"/>
    <w:rsid w:val="002062B3"/>
    <w:rsid w:val="002710DB"/>
    <w:rsid w:val="00281DE8"/>
    <w:rsid w:val="002850A2"/>
    <w:rsid w:val="002B6110"/>
    <w:rsid w:val="003154E3"/>
    <w:rsid w:val="004118EB"/>
    <w:rsid w:val="004255EE"/>
    <w:rsid w:val="00432EDE"/>
    <w:rsid w:val="00465FE5"/>
    <w:rsid w:val="004851D9"/>
    <w:rsid w:val="004A39C8"/>
    <w:rsid w:val="004D18E6"/>
    <w:rsid w:val="004E155F"/>
    <w:rsid w:val="005324A3"/>
    <w:rsid w:val="005B4113"/>
    <w:rsid w:val="006120C5"/>
    <w:rsid w:val="006278F4"/>
    <w:rsid w:val="00627F12"/>
    <w:rsid w:val="006702AC"/>
    <w:rsid w:val="006D1626"/>
    <w:rsid w:val="00765060"/>
    <w:rsid w:val="007840A9"/>
    <w:rsid w:val="007F0D10"/>
    <w:rsid w:val="008236B9"/>
    <w:rsid w:val="008C2579"/>
    <w:rsid w:val="0097495D"/>
    <w:rsid w:val="009A1FA1"/>
    <w:rsid w:val="009B05E5"/>
    <w:rsid w:val="00A3771B"/>
    <w:rsid w:val="00A972B1"/>
    <w:rsid w:val="00B15C97"/>
    <w:rsid w:val="00BE09EF"/>
    <w:rsid w:val="00C13D4F"/>
    <w:rsid w:val="00C51926"/>
    <w:rsid w:val="00C73D15"/>
    <w:rsid w:val="00CF0307"/>
    <w:rsid w:val="00DC088B"/>
    <w:rsid w:val="00E625F3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7048-2246-437D-9E65-D1F35D2E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MOJ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4</cp:revision>
  <cp:lastPrinted>2015-04-20T03:49:00Z</cp:lastPrinted>
  <dcterms:created xsi:type="dcterms:W3CDTF">2016-03-13T03:31:00Z</dcterms:created>
  <dcterms:modified xsi:type="dcterms:W3CDTF">2016-10-14T08:27:00Z</dcterms:modified>
</cp:coreProperties>
</file>