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B8035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</w:t>
            </w:r>
            <w:r w:rsidR="00D95764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9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B8035D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</w:t>
            </w:r>
            <w:r w:rsidR="00A42F7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室</w:t>
            </w:r>
          </w:p>
        </w:tc>
      </w:tr>
      <w:tr w:rsidR="00A972B1" w:rsidRPr="00CF6B88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764642" w:rsidP="009D51ED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為</w:t>
            </w:r>
            <w:r w:rsidR="003B2ECB">
              <w:rPr>
                <w:rFonts w:ascii="標楷體" w:eastAsia="標楷體" w:hAnsi="標楷體" w:hint="eastAsia"/>
                <w:sz w:val="32"/>
                <w:szCs w:val="32"/>
              </w:rPr>
              <w:t>落實執行</w:t>
            </w:r>
            <w:r w:rsidR="00984108" w:rsidRPr="00984108">
              <w:rPr>
                <w:rFonts w:ascii="標楷體" w:eastAsia="標楷體" w:hAnsi="標楷體"/>
                <w:spacing w:val="12"/>
                <w:sz w:val="32"/>
                <w:szCs w:val="32"/>
              </w:rPr>
              <w:t>「國家廉政建設行動方案」</w:t>
            </w:r>
            <w:r w:rsidR="00CF6B88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具體策略、</w:t>
            </w:r>
            <w:r w:rsidR="001E66B8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執行措施及</w:t>
            </w:r>
            <w:r w:rsidR="00B8035D" w:rsidRPr="00984108">
              <w:rPr>
                <w:rFonts w:ascii="標楷體" w:eastAsia="標楷體" w:hAnsi="標楷體" w:hint="eastAsia"/>
                <w:sz w:val="32"/>
                <w:szCs w:val="32"/>
              </w:rPr>
              <w:t>105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年績效目標值</w:t>
            </w:r>
            <w:r w:rsidR="00B8035D" w:rsidRPr="00984108">
              <w:rPr>
                <w:rFonts w:ascii="標楷體" w:eastAsia="標楷體" w:hAnsi="標楷體" w:hint="eastAsia"/>
                <w:sz w:val="32"/>
                <w:szCs w:val="32"/>
              </w:rPr>
              <w:t>案，</w:t>
            </w:r>
            <w:r w:rsidR="009D51ED" w:rsidRPr="00984108">
              <w:rPr>
                <w:rFonts w:ascii="標楷體" w:eastAsia="標楷體" w:hAnsi="標楷體" w:hint="eastAsia"/>
                <w:sz w:val="32"/>
                <w:szCs w:val="32"/>
              </w:rPr>
              <w:t xml:space="preserve">提請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審議</w:t>
            </w:r>
            <w:r w:rsidR="009D51ED" w:rsidRPr="00984108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972B1" w:rsidRPr="00F14DCF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1E66B8" w:rsidRPr="001E66B8" w:rsidRDefault="00984108" w:rsidP="00F14DCF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984108">
              <w:rPr>
                <w:rFonts w:ascii="標楷體" w:eastAsia="標楷體" w:hAnsi="標楷體"/>
                <w:spacing w:val="12"/>
                <w:sz w:val="32"/>
                <w:szCs w:val="32"/>
              </w:rPr>
              <w:t>為與國際反貪腐趨勢接軌，</w:t>
            </w:r>
            <w:r w:rsidRPr="00984108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促使《聯合國反貪腐公約》所揭示反貪腐精神和政策實現，</w:t>
            </w:r>
            <w:r w:rsidR="001E66B8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我國業於</w:t>
            </w:r>
            <w:r w:rsidR="001E66B8" w:rsidRPr="00C32E52">
              <w:rPr>
                <w:rFonts w:ascii="標楷體" w:eastAsia="標楷體" w:hAnsi="標楷體" w:cs="ArialMT"/>
                <w:kern w:val="0"/>
                <w:sz w:val="32"/>
                <w:szCs w:val="32"/>
              </w:rPr>
              <w:t>104</w:t>
            </w:r>
            <w:r w:rsidR="001E66B8" w:rsidRPr="00C32E52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年</w:t>
            </w:r>
            <w:r w:rsidR="001E66B8" w:rsidRPr="00C32E52">
              <w:rPr>
                <w:rFonts w:ascii="標楷體" w:eastAsia="標楷體" w:hAnsi="標楷體" w:cs="ArialMT"/>
                <w:kern w:val="0"/>
                <w:sz w:val="32"/>
                <w:szCs w:val="32"/>
              </w:rPr>
              <w:t>12</w:t>
            </w:r>
            <w:r w:rsidR="001E66B8" w:rsidRPr="00C32E52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月</w:t>
            </w:r>
            <w:r w:rsidR="001E66B8" w:rsidRPr="00C32E52">
              <w:rPr>
                <w:rFonts w:ascii="標楷體" w:eastAsia="標楷體" w:hAnsi="標楷體" w:cs="ArialMT"/>
                <w:kern w:val="0"/>
                <w:sz w:val="32"/>
                <w:szCs w:val="32"/>
              </w:rPr>
              <w:t>9</w:t>
            </w:r>
            <w:r w:rsidR="001E66B8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日</w:t>
            </w:r>
            <w:r w:rsidR="009F285D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正式</w:t>
            </w:r>
            <w:r w:rsidR="001E66B8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施行</w:t>
            </w:r>
            <w:r w:rsidR="00C32E52" w:rsidRPr="00C32E52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「聯合國反貪腐公約施行法」，成為我國反貪腐法制和措施的法源依據。</w:t>
            </w:r>
            <w:r w:rsidR="001E66B8" w:rsidRPr="006511F7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行政院嗣</w:t>
            </w:r>
            <w:r w:rsidR="001E66B8" w:rsidRPr="00C32E52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依</w:t>
            </w:r>
            <w:r w:rsidR="009F285D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據</w:t>
            </w:r>
            <w:r w:rsidR="001E66B8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上揭</w:t>
            </w:r>
            <w:r w:rsidR="001E66B8" w:rsidRPr="006511F7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公約及其施行法之規定</w:t>
            </w:r>
            <w:r w:rsidR="001E66B8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，</w:t>
            </w:r>
            <w:r w:rsidR="001E66B8" w:rsidRPr="006511F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於105年8月24日函頒修正</w:t>
            </w:r>
            <w:r w:rsidR="001E66B8" w:rsidRPr="006511F7">
              <w:rPr>
                <w:rFonts w:ascii="標楷體" w:eastAsia="標楷體" w:hAnsi="標楷體"/>
                <w:spacing w:val="12"/>
                <w:sz w:val="32"/>
                <w:szCs w:val="32"/>
              </w:rPr>
              <w:t>「國家廉政建設行動方案」</w:t>
            </w:r>
            <w:r w:rsidR="001E66B8" w:rsidRPr="006511F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1E66B8">
              <w:rPr>
                <w:rFonts w:ascii="標楷體" w:eastAsia="標楷體" w:hAnsi="標楷體" w:hint="eastAsia"/>
                <w:sz w:val="32"/>
                <w:szCs w:val="32"/>
              </w:rPr>
              <w:t>期</w:t>
            </w:r>
            <w:r w:rsidR="001E66B8" w:rsidRPr="006511F7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以多元策略整合國家各部門的力量</w:t>
            </w:r>
            <w:r w:rsidR="001E66B8" w:rsidRPr="006511F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，展現首長清廉執政的決心</w:t>
            </w:r>
            <w:r w:rsidR="001E66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，合先</w:t>
            </w:r>
            <w:r w:rsidR="003B2EC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敘</w:t>
            </w:r>
            <w:r w:rsidR="001E66B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明</w:t>
            </w:r>
            <w:r w:rsidR="001E66B8" w:rsidRPr="006511F7">
              <w:rPr>
                <w:rFonts w:ascii="標楷體" w:eastAsia="標楷體" w:hAnsi="標楷體" w:cs="DFLiHei-Lt-WIN-BF" w:hint="eastAsia"/>
                <w:kern w:val="0"/>
                <w:sz w:val="32"/>
                <w:szCs w:val="32"/>
              </w:rPr>
              <w:t>。</w:t>
            </w:r>
          </w:p>
          <w:p w:rsidR="006511F7" w:rsidRPr="000D60D0" w:rsidRDefault="006511F7" w:rsidP="006511F7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0D60D0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前開行動方案</w:t>
            </w:r>
            <w:r w:rsidR="000D60D0" w:rsidRPr="000D60D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強調現階段國家廉政建設重點為「落實聯合國反貪腐公約」、「展現首長清廉執政的決心及實際行動」、「由公部門引領私部門誠信經營」等施政主軸，並</w:t>
            </w:r>
            <w:r w:rsidRPr="000D60D0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提出下列9項具體策略</w:t>
            </w:r>
            <w:r w:rsidR="000D60D0" w:rsidRPr="000D60D0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，</w:t>
            </w:r>
            <w:r w:rsidRPr="000D60D0">
              <w:rPr>
                <w:rFonts w:ascii="標楷體" w:eastAsia="標楷體" w:hAnsi="標楷體" w:hint="eastAsia"/>
                <w:spacing w:val="12"/>
                <w:sz w:val="32"/>
                <w:szCs w:val="32"/>
              </w:rPr>
              <w:t>據以研訂46項具體執行措施及績效衡量指標項目：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0D60D0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強化機關廉政經</w:t>
            </w: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營責任制度，落實風險控管作為。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511F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促進</w:t>
            </w: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公開</w:t>
            </w:r>
            <w:r w:rsidRPr="006511F7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透</w:t>
            </w: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明，防止利益衝突。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511F7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持續指標研究，</w:t>
            </w: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掌握民意脈動與國際</w:t>
            </w:r>
            <w:r w:rsidRPr="006511F7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趨勢</w:t>
            </w: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。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落實公務員行為規範，建立政府典範。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鼓勵社會參與，促進透明與貪腐零容忍的共識。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推動校園誠信，深化學子品格教育。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強化企業誠信，凝聚私部門反貪腐共識。</w:t>
            </w:r>
          </w:p>
          <w:p w:rsidR="006511F7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增修肅貪法令，強化肅貪能量，落實揭弊者保護。</w:t>
            </w:r>
          </w:p>
          <w:p w:rsidR="00C32E52" w:rsidRPr="006511F7" w:rsidRDefault="006511F7" w:rsidP="006511F7">
            <w:pPr>
              <w:pStyle w:val="a6"/>
              <w:numPr>
                <w:ilvl w:val="0"/>
                <w:numId w:val="12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color w:val="000000" w:themeColor="text1"/>
                <w:kern w:val="0"/>
                <w:sz w:val="32"/>
                <w:szCs w:val="32"/>
              </w:rPr>
            </w:pPr>
            <w:r w:rsidRPr="006511F7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lastRenderedPageBreak/>
              <w:t>推動國際合作與資</w:t>
            </w:r>
            <w:r w:rsidRPr="006511F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產追繳，建構國家間互惠機制。</w:t>
            </w:r>
          </w:p>
          <w:p w:rsidR="00A42F7B" w:rsidRPr="007D57E2" w:rsidRDefault="001E66B8" w:rsidP="006511F7">
            <w:pPr>
              <w:pStyle w:val="a6"/>
              <w:numPr>
                <w:ilvl w:val="0"/>
                <w:numId w:val="7"/>
              </w:numPr>
              <w:spacing w:line="500" w:lineRule="exact"/>
              <w:ind w:leftChars="0" w:left="742" w:hanging="742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上開</w:t>
            </w:r>
            <w:r w:rsidR="006511F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46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項執行措施中，與本機關有關者如次</w:t>
            </w:r>
            <w:r w:rsidR="006511F7">
              <w:rPr>
                <w:rFonts w:ascii="新細明體" w:hAnsi="新細明體" w:cs="標楷體" w:hint="eastAsia"/>
                <w:color w:val="000000"/>
                <w:sz w:val="32"/>
                <w:szCs w:val="32"/>
              </w:rPr>
              <w:t>：</w:t>
            </w:r>
          </w:p>
          <w:p w:rsidR="007D57E2" w:rsidRPr="007D57E2" w:rsidRDefault="007D57E2" w:rsidP="007D57E2">
            <w:pPr>
              <w:spacing w:line="500" w:lineRule="exact"/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</w:rPr>
            </w:pPr>
            <w:r w:rsidRPr="007D57E2"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</w:rPr>
              <w:t>（以下為各機關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</w:rPr>
              <w:t>之</w:t>
            </w:r>
            <w:r w:rsidRPr="007D57E2"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</w:rPr>
              <w:t>基本要求，請各機關依業務特性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</w:rPr>
              <w:t>增列</w:t>
            </w:r>
            <w:r w:rsidRPr="007D57E2"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</w:rPr>
              <w:t>）</w:t>
            </w:r>
          </w:p>
          <w:p w:rsidR="006511F7" w:rsidRPr="00791BA6" w:rsidRDefault="00CB2943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1.1項</w:t>
            </w:r>
            <w:r w:rsidRPr="00CB2943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：各級機關首長對機關廉政風險管理投入足夠人力與經費資源，每年依據廉政風險評估採取適當的措施，親自主持廉政會報或相關會議，列管評估廉政舉</w:t>
            </w: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措之有效性，對於已發生之違失案件結合新聞發布機制，主動說明查處預防作為及打擊貪腐的決心，並落實獎勵與課責。</w:t>
            </w:r>
          </w:p>
          <w:p w:rsidR="00CB2943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1.2項：推動機關設計及執行內部控制制度，並落實內部控制監督作業，據以評估整體內部控制制度之有效程度，出具內部控制制度聲明書，以強化機關自我課責。</w:t>
            </w:r>
          </w:p>
          <w:p w:rsidR="00791BA6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1.3項：結合各機關廉政風險評估結果，針對貪腐高風險業務實施稽核清查及追蹤管考，並研提興利防弊作法，簽報機關首長列管執行。</w:t>
            </w:r>
          </w:p>
          <w:p w:rsidR="00791BA6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2.1項：加強宣導「</w:t>
            </w:r>
            <w:r w:rsidRPr="00791BA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公職人員財產申報法</w:t>
            </w: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」及「</w:t>
            </w:r>
            <w:r w:rsidRPr="00791BA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公職人員利益衝突迴避法</w:t>
            </w: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」，並</w:t>
            </w:r>
            <w:r w:rsidRPr="00791BA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執行案件審核調查。</w:t>
            </w:r>
          </w:p>
          <w:p w:rsidR="00791BA6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4.1項：加強請託關說、受贈財物、飲宴應酬及其他廉政倫理事件登錄，及請託關說案件抽查，以正確引導是類案件循法定程序辦理，並定期公開相關資訊。</w:t>
            </w:r>
          </w:p>
          <w:p w:rsidR="00791BA6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4.3項：針對各類業務分析貪瀆成因及內部控制弱點，檢視作業流程及法規，研編倫理指南或防貪指引，導引同仁認同倫理價值及建立典範。</w:t>
            </w:r>
          </w:p>
          <w:p w:rsidR="00791BA6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5.1項：推動全民教育，提高公眾對貪腐的存在、根源、嚴重性及其所構成威脅的認識。</w:t>
            </w:r>
          </w:p>
          <w:p w:rsidR="00791BA6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lastRenderedPageBreak/>
              <w:t>5.2項：針對民眾權益相關事項，採行透明措施，提高審駁過程之透明度，促進民眾監督之可及性。</w:t>
            </w:r>
          </w:p>
          <w:p w:rsidR="00791BA6" w:rsidRPr="00791BA6" w:rsidRDefault="00791BA6" w:rsidP="00CB2943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8.8項：貫</w:t>
            </w:r>
            <w:r w:rsidRPr="00791BA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徹行政肅貪</w:t>
            </w: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及追究行政責任</w:t>
            </w:r>
            <w:r w:rsidRPr="00791BA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，</w:t>
            </w: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以</w:t>
            </w:r>
            <w:r w:rsidRPr="00791BA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健全機關風紀</w:t>
            </w: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。</w:t>
            </w:r>
          </w:p>
          <w:p w:rsidR="00CB2943" w:rsidRPr="00CB2943" w:rsidRDefault="00791BA6" w:rsidP="00791BA6">
            <w:pPr>
              <w:pStyle w:val="a6"/>
              <w:numPr>
                <w:ilvl w:val="0"/>
                <w:numId w:val="14"/>
              </w:numPr>
              <w:spacing w:line="500" w:lineRule="exact"/>
              <w:ind w:leftChars="0" w:left="1167" w:hanging="992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8.9項：加強檢舉</w:t>
            </w:r>
            <w:r w:rsidRPr="00791BA6">
              <w:rPr>
                <w:rFonts w:ascii="標楷體" w:eastAsia="標楷體" w:hAnsi="標楷體"/>
                <w:bCs/>
                <w:color w:val="000000" w:themeColor="text1"/>
                <w:sz w:val="32"/>
                <w:szCs w:val="32"/>
              </w:rPr>
              <w:t>人保護、</w:t>
            </w:r>
            <w:r w:rsidRPr="00791BA6">
              <w:rPr>
                <w:rFonts w:ascii="標楷體" w:eastAsia="標楷體" w:hAnsi="標楷體" w:hint="eastAsia"/>
                <w:bCs/>
                <w:color w:val="000000" w:themeColor="text1"/>
                <w:sz w:val="32"/>
                <w:szCs w:val="32"/>
              </w:rPr>
              <w:t>保密宣導及落實受理檢舉案件追蹤考核。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231B6F" w:rsidRPr="003C74EA" w:rsidRDefault="001E66B8" w:rsidP="00764642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C74E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廉政風險之控管有助於機關及首長穩健施政，</w:t>
            </w:r>
            <w:r w:rsidRPr="003C74EA">
              <w:rPr>
                <w:rFonts w:ascii="標楷體" w:eastAsia="標楷體" w:hAnsi="標楷體" w:hint="eastAsia"/>
                <w:sz w:val="32"/>
                <w:szCs w:val="32"/>
              </w:rPr>
              <w:t>降低業務運作之不確定性，爰請各級主管</w:t>
            </w:r>
            <w:r w:rsidR="003C74EA" w:rsidRPr="003C74EA">
              <w:rPr>
                <w:rFonts w:ascii="標楷體" w:eastAsia="標楷體" w:hAnsi="標楷體" w:hint="eastAsia"/>
                <w:sz w:val="32"/>
                <w:szCs w:val="32"/>
              </w:rPr>
              <w:t>依據</w:t>
            </w:r>
            <w:r w:rsidR="009F285D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  <w:r w:rsidR="003C74EA" w:rsidRPr="003C74EA">
              <w:rPr>
                <w:rFonts w:ascii="標楷體" w:eastAsia="標楷體" w:hAnsi="標楷體" w:hint="eastAsia"/>
                <w:sz w:val="32"/>
                <w:szCs w:val="32"/>
              </w:rPr>
              <w:t>揭行動方案之有關執行措施，</w:t>
            </w:r>
            <w:r w:rsidR="00231B6F" w:rsidRPr="003C74EA">
              <w:rPr>
                <w:rFonts w:ascii="標楷體" w:eastAsia="標楷體" w:hAnsi="標楷體" w:hint="eastAsia"/>
                <w:sz w:val="32"/>
                <w:szCs w:val="32"/>
              </w:rPr>
              <w:t>協助</w:t>
            </w:r>
            <w:r w:rsidR="009F285D">
              <w:rPr>
                <w:rFonts w:ascii="標楷體" w:eastAsia="標楷體" w:hAnsi="標楷體" w:hint="eastAsia"/>
                <w:sz w:val="32"/>
                <w:szCs w:val="32"/>
              </w:rPr>
              <w:t>機關</w:t>
            </w:r>
            <w:r w:rsidR="00231B6F" w:rsidRPr="003C74EA">
              <w:rPr>
                <w:rFonts w:ascii="標楷體" w:eastAsia="標楷體" w:hAnsi="標楷體" w:hint="eastAsia"/>
                <w:sz w:val="32"/>
                <w:szCs w:val="32"/>
              </w:rPr>
              <w:t>廉政風險</w:t>
            </w:r>
            <w:r w:rsidRPr="003C74EA">
              <w:rPr>
                <w:rFonts w:ascii="標楷體" w:eastAsia="標楷體" w:hAnsi="標楷體" w:hint="eastAsia"/>
                <w:sz w:val="32"/>
                <w:szCs w:val="32"/>
              </w:rPr>
              <w:t>經營與</w:t>
            </w:r>
            <w:r w:rsidR="00231B6F" w:rsidRPr="003C74EA">
              <w:rPr>
                <w:rFonts w:ascii="標楷體" w:eastAsia="標楷體" w:hAnsi="標楷體" w:hint="eastAsia"/>
                <w:sz w:val="32"/>
                <w:szCs w:val="32"/>
              </w:rPr>
              <w:t>管理</w:t>
            </w:r>
            <w:r w:rsidRPr="003C74EA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3B03AD" w:rsidRPr="003B03AD" w:rsidRDefault="003B03AD" w:rsidP="00231B6F">
            <w:pPr>
              <w:pStyle w:val="a6"/>
              <w:numPr>
                <w:ilvl w:val="0"/>
                <w:numId w:val="10"/>
              </w:numPr>
              <w:spacing w:line="500" w:lineRule="exact"/>
              <w:ind w:leftChars="0" w:left="742" w:hanging="7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B03A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旨揭</w:t>
            </w:r>
            <w:r w:rsidR="001E66B8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行動</w:t>
            </w:r>
            <w:r w:rsidRPr="003B03AD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方案列管事項與本機關有關者，定期於本會報邀請權管單位報告執行情形，並就未達績效目標值原因提出說明及後續策進作為。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3B03A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49" w:rsidRDefault="00EC1449" w:rsidP="0097495D">
      <w:pPr>
        <w:spacing w:line="240" w:lineRule="auto"/>
      </w:pPr>
      <w:r>
        <w:separator/>
      </w:r>
    </w:p>
  </w:endnote>
  <w:endnote w:type="continuationSeparator" w:id="0">
    <w:p w:rsidR="00EC1449" w:rsidRDefault="00EC1449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LiHei-Lt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49" w:rsidRDefault="00EC1449" w:rsidP="0097495D">
      <w:pPr>
        <w:spacing w:line="240" w:lineRule="auto"/>
      </w:pPr>
      <w:r>
        <w:separator/>
      </w:r>
    </w:p>
  </w:footnote>
  <w:footnote w:type="continuationSeparator" w:id="0">
    <w:p w:rsidR="00EC1449" w:rsidRDefault="00EC1449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5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437F2"/>
    <w:rsid w:val="00071DDD"/>
    <w:rsid w:val="000B09F5"/>
    <w:rsid w:val="000D60D0"/>
    <w:rsid w:val="000E612D"/>
    <w:rsid w:val="001250E3"/>
    <w:rsid w:val="0014716F"/>
    <w:rsid w:val="001A532E"/>
    <w:rsid w:val="001B1B06"/>
    <w:rsid w:val="001E0BF1"/>
    <w:rsid w:val="001E66B8"/>
    <w:rsid w:val="001E6C33"/>
    <w:rsid w:val="002042A4"/>
    <w:rsid w:val="002062B3"/>
    <w:rsid w:val="00231B6F"/>
    <w:rsid w:val="00252F81"/>
    <w:rsid w:val="002710DB"/>
    <w:rsid w:val="00281DE8"/>
    <w:rsid w:val="002850A2"/>
    <w:rsid w:val="002B6110"/>
    <w:rsid w:val="002C1DA4"/>
    <w:rsid w:val="002F2DB7"/>
    <w:rsid w:val="003154E3"/>
    <w:rsid w:val="00380710"/>
    <w:rsid w:val="003B03AD"/>
    <w:rsid w:val="003B2ECB"/>
    <w:rsid w:val="003C74EA"/>
    <w:rsid w:val="0040699E"/>
    <w:rsid w:val="004118EB"/>
    <w:rsid w:val="004255EE"/>
    <w:rsid w:val="00432EDE"/>
    <w:rsid w:val="004851D9"/>
    <w:rsid w:val="004A39C8"/>
    <w:rsid w:val="004D18E6"/>
    <w:rsid w:val="004E155F"/>
    <w:rsid w:val="005018C1"/>
    <w:rsid w:val="005324A3"/>
    <w:rsid w:val="00587AE7"/>
    <w:rsid w:val="006120C5"/>
    <w:rsid w:val="00627F12"/>
    <w:rsid w:val="006511F7"/>
    <w:rsid w:val="006702AC"/>
    <w:rsid w:val="006D1626"/>
    <w:rsid w:val="007068A1"/>
    <w:rsid w:val="0074171F"/>
    <w:rsid w:val="00764642"/>
    <w:rsid w:val="00765060"/>
    <w:rsid w:val="007840A9"/>
    <w:rsid w:val="00791BA6"/>
    <w:rsid w:val="007D37E1"/>
    <w:rsid w:val="007D57E2"/>
    <w:rsid w:val="007F0D10"/>
    <w:rsid w:val="008630F4"/>
    <w:rsid w:val="008C2579"/>
    <w:rsid w:val="0097495D"/>
    <w:rsid w:val="00984108"/>
    <w:rsid w:val="009A1FA1"/>
    <w:rsid w:val="009B05E5"/>
    <w:rsid w:val="009D51ED"/>
    <w:rsid w:val="009F285D"/>
    <w:rsid w:val="00A3771B"/>
    <w:rsid w:val="00A42F7B"/>
    <w:rsid w:val="00A972B1"/>
    <w:rsid w:val="00AF153B"/>
    <w:rsid w:val="00B15C97"/>
    <w:rsid w:val="00B24993"/>
    <w:rsid w:val="00B8035D"/>
    <w:rsid w:val="00C13D4F"/>
    <w:rsid w:val="00C32E52"/>
    <w:rsid w:val="00C51926"/>
    <w:rsid w:val="00C62BB6"/>
    <w:rsid w:val="00C73D15"/>
    <w:rsid w:val="00CB2943"/>
    <w:rsid w:val="00CE7832"/>
    <w:rsid w:val="00CF0307"/>
    <w:rsid w:val="00CF6B88"/>
    <w:rsid w:val="00D81313"/>
    <w:rsid w:val="00D95764"/>
    <w:rsid w:val="00DC088B"/>
    <w:rsid w:val="00EC1449"/>
    <w:rsid w:val="00EF3D03"/>
    <w:rsid w:val="00F14DCF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7BB3-F2AC-46E3-9B7D-C4843491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198</Words>
  <Characters>1132</Characters>
  <Application>Microsoft Office Word</Application>
  <DocSecurity>0</DocSecurity>
  <Lines>9</Lines>
  <Paragraphs>2</Paragraphs>
  <ScaleCrop>false</ScaleCrop>
  <Company>MOJ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58</cp:revision>
  <cp:lastPrinted>2016-09-08T06:27:00Z</cp:lastPrinted>
  <dcterms:created xsi:type="dcterms:W3CDTF">2016-03-12T02:37:00Z</dcterms:created>
  <dcterms:modified xsi:type="dcterms:W3CDTF">2016-12-30T08:28:00Z</dcterms:modified>
</cp:coreProperties>
</file>