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3E41B7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21</w:t>
            </w:r>
            <w:bookmarkStart w:id="0" w:name="_GoBack"/>
            <w:bookmarkEnd w:id="0"/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552B1D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政風室</w:t>
            </w:r>
          </w:p>
        </w:tc>
      </w:tr>
      <w:tr w:rsidR="00A972B1" w:rsidRPr="00B97300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984108" w:rsidRDefault="00552B1D" w:rsidP="00586794">
            <w:pPr>
              <w:pStyle w:val="a4"/>
              <w:spacing w:line="500" w:lineRule="exact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Calibri" w:eastAsia="標楷體" w:hAnsi="Calibri" w:hint="eastAsia"/>
                <w:sz w:val="32"/>
                <w:szCs w:val="32"/>
              </w:rPr>
              <w:t>有關審計處提出本局油料補貼核發標準寬鬆及審核機制不彰之缺失</w:t>
            </w:r>
            <w:r w:rsidR="009F2842">
              <w:rPr>
                <w:rFonts w:ascii="Calibri" w:eastAsia="標楷體" w:hAnsi="Calibri" w:hint="eastAsia"/>
                <w:sz w:val="32"/>
                <w:szCs w:val="32"/>
              </w:rPr>
              <w:t>案</w:t>
            </w:r>
            <w:r w:rsidR="00B97300" w:rsidRPr="00DB11F1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，</w:t>
            </w:r>
            <w:r w:rsidR="00B97300">
              <w:rPr>
                <w:rFonts w:ascii="標楷體" w:eastAsia="標楷體" w:hAnsi="標楷體" w:hint="eastAsia"/>
                <w:bCs/>
                <w:spacing w:val="-4"/>
                <w:sz w:val="32"/>
                <w:szCs w:val="32"/>
              </w:rPr>
              <w:t>提請  審議。</w:t>
            </w:r>
          </w:p>
        </w:tc>
      </w:tr>
      <w:tr w:rsidR="00A972B1" w:rsidRPr="00F14DCF" w:rsidTr="00BA38EC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1C1CAF" w:rsidRDefault="00DB11F1" w:rsidP="001C1CAF">
            <w:pPr>
              <w:spacing w:line="560" w:lineRule="exact"/>
              <w:ind w:left="598" w:hangingChars="187" w:hanging="598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B1D8D">
              <w:rPr>
                <w:rFonts w:ascii="標楷體" w:eastAsia="標楷體" w:hAnsi="標楷體" w:hint="eastAsia"/>
                <w:sz w:val="32"/>
              </w:rPr>
              <w:t>一、</w:t>
            </w:r>
            <w:r w:rsidR="00552B1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案緣審計部</w:t>
            </w:r>
            <w:r w:rsidR="00552B1D" w:rsidRPr="008E5811">
              <w:rPr>
                <w:rFonts w:ascii="標楷體" w:eastAsia="標楷體" w:hAnsi="標楷體" w:hint="eastAsia"/>
                <w:sz w:val="32"/>
              </w:rPr>
              <w:t>○○</w:t>
            </w:r>
            <w:r w:rsidR="00552B1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市審計處查核發現本局及轄管之</w:t>
            </w:r>
            <w:r w:rsidR="00552B1D" w:rsidRPr="008E5811">
              <w:rPr>
                <w:rFonts w:ascii="標楷體" w:eastAsia="標楷體" w:hAnsi="標楷體" w:hint="eastAsia"/>
                <w:sz w:val="32"/>
              </w:rPr>
              <w:t>○○</w:t>
            </w:r>
            <w:r w:rsidR="00552B1D"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市環境保護基金為執行環境保護清潔、廢棄物處理及衛生稽查等相關業務，104</w:t>
            </w:r>
            <w:r w:rsidR="00C26D92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年度編列</w:t>
            </w:r>
            <w:r w:rsidR="00552B1D"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供業務使用之車輛，及供執行相關稽核業務車輛使用之油料油脂費，經查管理情形，核有下列缺失：</w:t>
            </w:r>
          </w:p>
          <w:p w:rsidR="00552B1D" w:rsidRPr="005D0100" w:rsidRDefault="00552B1D" w:rsidP="00552B1D">
            <w:pPr>
              <w:numPr>
                <w:ilvl w:val="0"/>
                <w:numId w:val="20"/>
              </w:numPr>
              <w:spacing w:line="500" w:lineRule="exact"/>
              <w:ind w:left="884" w:hanging="709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油料之核發標準過於寛鬆</w:t>
            </w:r>
          </w:p>
          <w:p w:rsidR="00552B1D" w:rsidRPr="005D0100" w:rsidRDefault="00552B1D" w:rsidP="00552B1D">
            <w:pPr>
              <w:spacing w:line="500" w:lineRule="exact"/>
              <w:ind w:leftChars="368" w:left="883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D01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查油料補助應以實際從事環保稽核等業務之車輛為對象，惟目前核發標準係以各區隊長、分隊長、班長或稽查員等身分別為核發對象，每月即給予17公升之補助，復未紀錄油料使用情形，是否確實執行稽查勤務，難以管控，且核發標準過於寬鬆，易衍生弊端。</w:t>
            </w:r>
            <w:r w:rsidRPr="005D0100"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</w:t>
            </w:r>
          </w:p>
          <w:p w:rsidR="00552B1D" w:rsidRPr="005D0100" w:rsidRDefault="00552B1D" w:rsidP="00552B1D">
            <w:pPr>
              <w:numPr>
                <w:ilvl w:val="0"/>
                <w:numId w:val="20"/>
              </w:numPr>
              <w:spacing w:line="500" w:lineRule="exact"/>
              <w:ind w:left="884" w:hanging="709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抽查所屬各區隊之比率及天數明顯偏低</w:t>
            </w:r>
          </w:p>
          <w:p w:rsidR="00552B1D" w:rsidRPr="005D0100" w:rsidRDefault="00552B1D" w:rsidP="00552B1D">
            <w:pPr>
              <w:spacing w:line="500" w:lineRule="exact"/>
              <w:ind w:leftChars="368" w:left="883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鑑於民眾關心之問題，多為垃圾清運及處理問題，惟本局1至8月抽查天數未及一成、抽查區隊數亦未及二成，抽查之項目僅路面是否乾淨、人員是否打卡及著工作服裝等事項，且抽查所屬各區隊之比率、天數及項目明顯偏低。</w:t>
            </w:r>
          </w:p>
          <w:p w:rsidR="00552B1D" w:rsidRPr="005D0100" w:rsidRDefault="00552B1D" w:rsidP="00552B1D">
            <w:pPr>
              <w:numPr>
                <w:ilvl w:val="0"/>
                <w:numId w:val="20"/>
              </w:numPr>
              <w:spacing w:line="500" w:lineRule="exact"/>
              <w:ind w:left="884" w:hanging="709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油料補助之內部審核機制明顯不彰</w:t>
            </w:r>
          </w:p>
          <w:p w:rsidR="00552B1D" w:rsidRPr="005D0100" w:rsidRDefault="00552B1D" w:rsidP="00A1690D">
            <w:pPr>
              <w:spacing w:line="500" w:lineRule="exact"/>
              <w:ind w:leftChars="368" w:left="883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5D01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查本局一年油料預算約</w:t>
            </w:r>
            <w:r w:rsidRPr="005D010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1</w:t>
            </w:r>
            <w:r w:rsidRPr="005D01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億餘元，區隊計有</w:t>
            </w:r>
            <w:r w:rsidRPr="005D0100"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  <w:t>37</w:t>
            </w:r>
            <w:r w:rsidRPr="005D01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隊，隊長、分</w:t>
            </w:r>
            <w:r w:rsidRPr="00552B1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隊長</w:t>
            </w:r>
            <w:r w:rsidRPr="005D01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及隊員等約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三</w:t>
            </w:r>
            <w:r w:rsidRPr="005D01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千餘人，預算規模及員工人數皆龐大，惟轄管之各區隊隊長無上下班刷卡資料，</w:t>
            </w:r>
            <w:r w:rsidRPr="005D01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且隊員上下班刷卡資料又僅為紙本，書面資料及電子資料闕如，內部審核未臻健全。</w:t>
            </w:r>
          </w:p>
          <w:p w:rsidR="00552B1D" w:rsidRPr="00552B1D" w:rsidRDefault="00552B1D" w:rsidP="00552B1D">
            <w:pPr>
              <w:spacing w:line="560" w:lineRule="exact"/>
              <w:ind w:left="640" w:hangingChars="200" w:hanging="640"/>
              <w:rPr>
                <w:rFonts w:ascii="標楷體" w:eastAsia="標楷體" w:hAnsi="標楷體"/>
                <w:bCs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二、</w:t>
            </w:r>
            <w:r w:rsidRPr="00552B1D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為健全本局執行公務車輛油料補貼之相關機制，並遏制類似缺失再發生，建議落實以下作為：</w:t>
            </w:r>
          </w:p>
          <w:p w:rsidR="00552B1D" w:rsidRPr="005D0100" w:rsidRDefault="00552B1D" w:rsidP="00552B1D">
            <w:pPr>
              <w:numPr>
                <w:ilvl w:val="0"/>
                <w:numId w:val="22"/>
              </w:numPr>
              <w:spacing w:line="500" w:lineRule="exact"/>
              <w:ind w:left="884" w:hanging="709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重新檢討油料補助制度之合理性，視業務實際需求予以補助，使公務資源做最有效運用。</w:t>
            </w:r>
          </w:p>
          <w:p w:rsidR="00552B1D" w:rsidRPr="005D0100" w:rsidRDefault="00552B1D" w:rsidP="00552B1D">
            <w:pPr>
              <w:numPr>
                <w:ilvl w:val="0"/>
                <w:numId w:val="22"/>
              </w:numPr>
              <w:spacing w:line="500" w:lineRule="exact"/>
              <w:ind w:left="884" w:hanging="709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衡酌現有人力及各區隊業務量，定期及不定期執行抽查，加強監督機制，以善盡對各區隊之督導之責。</w:t>
            </w:r>
          </w:p>
          <w:p w:rsidR="008E5811" w:rsidRPr="005B1D8D" w:rsidRDefault="00552B1D" w:rsidP="00552B1D">
            <w:pPr>
              <w:numPr>
                <w:ilvl w:val="0"/>
                <w:numId w:val="22"/>
              </w:numPr>
              <w:spacing w:line="500" w:lineRule="exact"/>
              <w:ind w:left="884" w:hanging="709"/>
              <w:rPr>
                <w:rFonts w:ascii="標楷體" w:eastAsia="標楷體" w:hAnsi="標楷體"/>
                <w:sz w:val="32"/>
              </w:rPr>
            </w:pPr>
            <w:r w:rsidRPr="005D01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儘速建立上下班刷卡之書面及電子資料，透過人事差勤系統之定期及不定期稽核，杜絶可能之弊端，完善內部審核機制。</w:t>
            </w:r>
          </w:p>
        </w:tc>
      </w:tr>
      <w:tr w:rsidR="00A972B1" w:rsidTr="00C62BB6">
        <w:trPr>
          <w:trHeight w:val="557"/>
        </w:trPr>
        <w:tc>
          <w:tcPr>
            <w:tcW w:w="1277" w:type="dxa"/>
            <w:vAlign w:val="center"/>
          </w:tcPr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辦</w:t>
            </w:r>
          </w:p>
          <w:p w:rsidR="00A972B1" w:rsidRDefault="00A972B1" w:rsidP="00A42F7B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  <w:vAlign w:val="center"/>
          </w:tcPr>
          <w:p w:rsidR="00552B1D" w:rsidRPr="005D0100" w:rsidRDefault="00552B1D" w:rsidP="00552B1D">
            <w:pPr>
              <w:numPr>
                <w:ilvl w:val="0"/>
                <w:numId w:val="23"/>
              </w:numPr>
              <w:spacing w:line="500" w:lineRule="exact"/>
              <w:ind w:left="742" w:hanging="742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B2A01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本案俟討論通過後，請</w:t>
            </w:r>
            <w:r w:rsidR="00A1690D" w:rsidRPr="008E5811">
              <w:rPr>
                <w:rFonts w:ascii="標楷體" w:eastAsia="標楷體" w:hAnsi="標楷體" w:hint="eastAsia"/>
                <w:sz w:val="32"/>
              </w:rPr>
              <w:t>○○</w:t>
            </w:r>
            <w:r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科通盤檢討本制度並訂定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「</w:t>
            </w:r>
            <w:r w:rsidRPr="008E5811">
              <w:rPr>
                <w:rFonts w:ascii="標楷體" w:eastAsia="標楷體" w:hAnsi="標楷體" w:hint="eastAsia"/>
                <w:sz w:val="32"/>
              </w:rPr>
              <w:t>○○</w:t>
            </w:r>
            <w:r w:rsidRPr="005D010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市政府環境保護局各區清潔隊執行公務之車輛油料補貼管理規定」，俾統一補助標準。</w:t>
            </w:r>
          </w:p>
          <w:p w:rsidR="003B03AD" w:rsidRPr="005B1D8D" w:rsidRDefault="00552B1D" w:rsidP="00552B1D">
            <w:pPr>
              <w:numPr>
                <w:ilvl w:val="0"/>
                <w:numId w:val="23"/>
              </w:numPr>
              <w:spacing w:line="500" w:lineRule="exact"/>
              <w:ind w:left="742" w:hanging="742"/>
              <w:rPr>
                <w:rFonts w:ascii="標楷體" w:eastAsia="標楷體" w:hAnsi="標楷體" w:cs="標楷體"/>
                <w:kern w:val="0"/>
                <w:sz w:val="32"/>
                <w:szCs w:val="32"/>
                <w:lang w:val="zh-TW"/>
              </w:rPr>
            </w:pPr>
            <w:r w:rsidRPr="005D0100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建議結合人事差勤系統勾稽認定油料補貼之申請係公務或私用，相關細節請秘書室及人事室再行研商。</w:t>
            </w:r>
          </w:p>
        </w:tc>
      </w:tr>
      <w:tr w:rsidR="00A972B1" w:rsidTr="00A42F7B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5B1D8D" w:rsidRDefault="00A972B1" w:rsidP="00A42F7B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4F3F65" w:rsidRDefault="004F3F65">
      <w:pPr>
        <w:widowControl/>
        <w:spacing w:line="360" w:lineRule="exact"/>
      </w:pPr>
    </w:p>
    <w:sectPr w:rsidR="004F3F6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AC2" w:rsidRDefault="00193AC2" w:rsidP="0097495D">
      <w:pPr>
        <w:spacing w:line="240" w:lineRule="auto"/>
      </w:pPr>
      <w:r>
        <w:separator/>
      </w:r>
    </w:p>
  </w:endnote>
  <w:endnote w:type="continuationSeparator" w:id="0">
    <w:p w:rsidR="00193AC2" w:rsidRDefault="00193AC2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AC2" w:rsidRDefault="00193AC2" w:rsidP="0097495D">
      <w:pPr>
        <w:spacing w:line="240" w:lineRule="auto"/>
      </w:pPr>
      <w:r>
        <w:separator/>
      </w:r>
    </w:p>
  </w:footnote>
  <w:footnote w:type="continuationSeparator" w:id="0">
    <w:p w:rsidR="00193AC2" w:rsidRDefault="00193AC2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62DC"/>
    <w:multiLevelType w:val="hybridMultilevel"/>
    <w:tmpl w:val="441E7E1C"/>
    <w:lvl w:ilvl="0" w:tplc="B476C9C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7C22F6"/>
    <w:multiLevelType w:val="hybridMultilevel"/>
    <w:tmpl w:val="8D1CD56C"/>
    <w:lvl w:ilvl="0" w:tplc="85AA293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B81811"/>
    <w:multiLevelType w:val="hybridMultilevel"/>
    <w:tmpl w:val="97B0BE64"/>
    <w:lvl w:ilvl="0" w:tplc="08C0F384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53480A"/>
    <w:multiLevelType w:val="hybridMultilevel"/>
    <w:tmpl w:val="CD000276"/>
    <w:lvl w:ilvl="0" w:tplc="3E1039B4">
      <w:start w:val="1"/>
      <w:numFmt w:val="taiwaneseCountingThousand"/>
      <w:lvlText w:val="（%1）"/>
      <w:lvlJc w:val="left"/>
      <w:pPr>
        <w:ind w:left="2356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1E63216"/>
    <w:multiLevelType w:val="hybridMultilevel"/>
    <w:tmpl w:val="F5C630EA"/>
    <w:lvl w:ilvl="0" w:tplc="0F42BC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20344C"/>
    <w:multiLevelType w:val="hybridMultilevel"/>
    <w:tmpl w:val="17FEDA1E"/>
    <w:lvl w:ilvl="0" w:tplc="636EF394">
      <w:start w:val="1"/>
      <w:numFmt w:val="taiwaneseCountingThousand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35610CCF"/>
    <w:multiLevelType w:val="hybridMultilevel"/>
    <w:tmpl w:val="199E2FFC"/>
    <w:lvl w:ilvl="0" w:tplc="0409000F">
      <w:start w:val="1"/>
      <w:numFmt w:val="decimal"/>
      <w:lvlText w:val="%1.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7">
    <w:nsid w:val="37185573"/>
    <w:multiLevelType w:val="hybridMultilevel"/>
    <w:tmpl w:val="DBB661A2"/>
    <w:lvl w:ilvl="0" w:tplc="2422B82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77817D3"/>
    <w:multiLevelType w:val="hybridMultilevel"/>
    <w:tmpl w:val="80547C88"/>
    <w:lvl w:ilvl="0" w:tplc="FDF8BFFE">
      <w:start w:val="1"/>
      <w:numFmt w:val="taiwaneseCountingThousand"/>
      <w:lvlText w:val="%1、"/>
      <w:lvlJc w:val="left"/>
      <w:pPr>
        <w:ind w:left="1571" w:hanging="72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9">
    <w:nsid w:val="4A172891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0">
    <w:nsid w:val="4B58306B"/>
    <w:multiLevelType w:val="hybridMultilevel"/>
    <w:tmpl w:val="1B166F90"/>
    <w:lvl w:ilvl="0" w:tplc="EB9681B2">
      <w:start w:val="1"/>
      <w:numFmt w:val="taiwaneseCountingThousand"/>
      <w:lvlText w:val="（%1）"/>
      <w:lvlJc w:val="left"/>
      <w:pPr>
        <w:ind w:left="2923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CF51BCC"/>
    <w:multiLevelType w:val="hybridMultilevel"/>
    <w:tmpl w:val="FED6EC76"/>
    <w:lvl w:ilvl="0" w:tplc="65E097F4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F3F6519"/>
    <w:multiLevelType w:val="hybridMultilevel"/>
    <w:tmpl w:val="DD803800"/>
    <w:lvl w:ilvl="0" w:tplc="2CAE546A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3576909"/>
    <w:multiLevelType w:val="hybridMultilevel"/>
    <w:tmpl w:val="91BC7F8A"/>
    <w:lvl w:ilvl="0" w:tplc="70DABB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8185E88"/>
    <w:multiLevelType w:val="hybridMultilevel"/>
    <w:tmpl w:val="92D0BC50"/>
    <w:lvl w:ilvl="0" w:tplc="04090015">
      <w:start w:val="1"/>
      <w:numFmt w:val="taiwaneseCountingThousand"/>
      <w:lvlText w:val="%1、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5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FAD2F88"/>
    <w:multiLevelType w:val="hybridMultilevel"/>
    <w:tmpl w:val="17C09584"/>
    <w:lvl w:ilvl="0" w:tplc="BD3C44EA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01E0F"/>
    <w:multiLevelType w:val="hybridMultilevel"/>
    <w:tmpl w:val="4B0445D0"/>
    <w:lvl w:ilvl="0" w:tplc="9B76798A">
      <w:start w:val="1"/>
      <w:numFmt w:val="taiwaneseCountingThousand"/>
      <w:lvlText w:val="(%1)"/>
      <w:lvlJc w:val="left"/>
      <w:pPr>
        <w:ind w:left="104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9">
    <w:nsid w:val="6D163BBD"/>
    <w:multiLevelType w:val="hybridMultilevel"/>
    <w:tmpl w:val="D1B0E4AA"/>
    <w:lvl w:ilvl="0" w:tplc="47AAAB3C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3880136"/>
    <w:multiLevelType w:val="hybridMultilevel"/>
    <w:tmpl w:val="31503F56"/>
    <w:lvl w:ilvl="0" w:tplc="7ACC4AEE">
      <w:start w:val="1"/>
      <w:numFmt w:val="taiwaneseCountingThousand"/>
      <w:lvlText w:val="%1、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747E697B"/>
    <w:multiLevelType w:val="hybridMultilevel"/>
    <w:tmpl w:val="AC2213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8146849"/>
    <w:multiLevelType w:val="hybridMultilevel"/>
    <w:tmpl w:val="4EA69166"/>
    <w:lvl w:ilvl="0" w:tplc="2F449A2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5"/>
  </w:num>
  <w:num w:numId="3">
    <w:abstractNumId w:val="1"/>
  </w:num>
  <w:num w:numId="4">
    <w:abstractNumId w:val="0"/>
  </w:num>
  <w:num w:numId="5">
    <w:abstractNumId w:val="1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1"/>
  </w:num>
  <w:num w:numId="9">
    <w:abstractNumId w:val="16"/>
  </w:num>
  <w:num w:numId="10">
    <w:abstractNumId w:val="14"/>
  </w:num>
  <w:num w:numId="11">
    <w:abstractNumId w:val="6"/>
  </w:num>
  <w:num w:numId="12">
    <w:abstractNumId w:val="10"/>
  </w:num>
  <w:num w:numId="13">
    <w:abstractNumId w:val="7"/>
  </w:num>
  <w:num w:numId="14">
    <w:abstractNumId w:val="3"/>
  </w:num>
  <w:num w:numId="15">
    <w:abstractNumId w:val="12"/>
  </w:num>
  <w:num w:numId="16">
    <w:abstractNumId w:val="20"/>
  </w:num>
  <w:num w:numId="17">
    <w:abstractNumId w:val="8"/>
  </w:num>
  <w:num w:numId="18">
    <w:abstractNumId w:val="22"/>
  </w:num>
  <w:num w:numId="19">
    <w:abstractNumId w:val="5"/>
  </w:num>
  <w:num w:numId="20">
    <w:abstractNumId w:val="9"/>
  </w:num>
  <w:num w:numId="21">
    <w:abstractNumId w:val="13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115AA"/>
    <w:rsid w:val="00034C68"/>
    <w:rsid w:val="000437F2"/>
    <w:rsid w:val="00071DDD"/>
    <w:rsid w:val="000B09F5"/>
    <w:rsid w:val="000D60D0"/>
    <w:rsid w:val="000D6867"/>
    <w:rsid w:val="000E612D"/>
    <w:rsid w:val="000F31A9"/>
    <w:rsid w:val="00105A99"/>
    <w:rsid w:val="001250E3"/>
    <w:rsid w:val="0014205F"/>
    <w:rsid w:val="0014716F"/>
    <w:rsid w:val="00193AC2"/>
    <w:rsid w:val="001A532E"/>
    <w:rsid w:val="001C1CAF"/>
    <w:rsid w:val="001E0BF1"/>
    <w:rsid w:val="001E66B8"/>
    <w:rsid w:val="001E6C33"/>
    <w:rsid w:val="002042A4"/>
    <w:rsid w:val="002062B3"/>
    <w:rsid w:val="002110D5"/>
    <w:rsid w:val="00231B6F"/>
    <w:rsid w:val="0024358F"/>
    <w:rsid w:val="00252F81"/>
    <w:rsid w:val="002710DB"/>
    <w:rsid w:val="00281DE8"/>
    <w:rsid w:val="002850A2"/>
    <w:rsid w:val="002B3A82"/>
    <w:rsid w:val="002B6110"/>
    <w:rsid w:val="002C1DA4"/>
    <w:rsid w:val="002F2DB7"/>
    <w:rsid w:val="003154E3"/>
    <w:rsid w:val="00375AC5"/>
    <w:rsid w:val="00380710"/>
    <w:rsid w:val="003B03AD"/>
    <w:rsid w:val="003C74EA"/>
    <w:rsid w:val="003E41B7"/>
    <w:rsid w:val="00405E42"/>
    <w:rsid w:val="0040699E"/>
    <w:rsid w:val="004118EB"/>
    <w:rsid w:val="00413763"/>
    <w:rsid w:val="004255EE"/>
    <w:rsid w:val="00432EDE"/>
    <w:rsid w:val="004851D9"/>
    <w:rsid w:val="004970C8"/>
    <w:rsid w:val="004A39C8"/>
    <w:rsid w:val="004A4A27"/>
    <w:rsid w:val="004D18E6"/>
    <w:rsid w:val="004E155F"/>
    <w:rsid w:val="004F3F65"/>
    <w:rsid w:val="005018C1"/>
    <w:rsid w:val="005324A3"/>
    <w:rsid w:val="00545FED"/>
    <w:rsid w:val="00552B1D"/>
    <w:rsid w:val="00586794"/>
    <w:rsid w:val="00587AE7"/>
    <w:rsid w:val="00591503"/>
    <w:rsid w:val="005B1D8D"/>
    <w:rsid w:val="006072DF"/>
    <w:rsid w:val="006120C5"/>
    <w:rsid w:val="00627F12"/>
    <w:rsid w:val="006511F7"/>
    <w:rsid w:val="006702AC"/>
    <w:rsid w:val="006C61B9"/>
    <w:rsid w:val="006D1626"/>
    <w:rsid w:val="007068A1"/>
    <w:rsid w:val="00764642"/>
    <w:rsid w:val="00765060"/>
    <w:rsid w:val="007840A9"/>
    <w:rsid w:val="00791BA6"/>
    <w:rsid w:val="007D37E1"/>
    <w:rsid w:val="007F0D10"/>
    <w:rsid w:val="008630F4"/>
    <w:rsid w:val="008C2579"/>
    <w:rsid w:val="008E5811"/>
    <w:rsid w:val="0094154E"/>
    <w:rsid w:val="0097495D"/>
    <w:rsid w:val="00984108"/>
    <w:rsid w:val="009A1FA1"/>
    <w:rsid w:val="009B05E5"/>
    <w:rsid w:val="009B1BD3"/>
    <w:rsid w:val="009B299A"/>
    <w:rsid w:val="009D51ED"/>
    <w:rsid w:val="009F2842"/>
    <w:rsid w:val="009F285D"/>
    <w:rsid w:val="00A1690D"/>
    <w:rsid w:val="00A3771B"/>
    <w:rsid w:val="00A42F7B"/>
    <w:rsid w:val="00A972B1"/>
    <w:rsid w:val="00AF153B"/>
    <w:rsid w:val="00B02155"/>
    <w:rsid w:val="00B15C97"/>
    <w:rsid w:val="00B24993"/>
    <w:rsid w:val="00B8035D"/>
    <w:rsid w:val="00B97300"/>
    <w:rsid w:val="00BA38EC"/>
    <w:rsid w:val="00C13D4F"/>
    <w:rsid w:val="00C26D92"/>
    <w:rsid w:val="00C32E52"/>
    <w:rsid w:val="00C51926"/>
    <w:rsid w:val="00C62BB6"/>
    <w:rsid w:val="00C73D15"/>
    <w:rsid w:val="00CB2943"/>
    <w:rsid w:val="00CE7832"/>
    <w:rsid w:val="00CF0307"/>
    <w:rsid w:val="00CF6B88"/>
    <w:rsid w:val="00D5675E"/>
    <w:rsid w:val="00D81313"/>
    <w:rsid w:val="00DB11F1"/>
    <w:rsid w:val="00DC088B"/>
    <w:rsid w:val="00DD79E0"/>
    <w:rsid w:val="00EF3D03"/>
    <w:rsid w:val="00F14DCF"/>
    <w:rsid w:val="00F53132"/>
    <w:rsid w:val="00F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99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74E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C74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D6B6F-5AB9-45C7-A4CD-47876434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130</Words>
  <Characters>746</Characters>
  <Application>Microsoft Office Word</Application>
  <DocSecurity>0</DocSecurity>
  <Lines>6</Lines>
  <Paragraphs>1</Paragraphs>
  <ScaleCrop>false</ScaleCrop>
  <Company>MOJ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17</cp:revision>
  <cp:lastPrinted>2016-09-08T06:27:00Z</cp:lastPrinted>
  <dcterms:created xsi:type="dcterms:W3CDTF">2016-09-21T01:57:00Z</dcterms:created>
  <dcterms:modified xsi:type="dcterms:W3CDTF">2016-12-30T08:28:00Z</dcterms:modified>
</cp:coreProperties>
</file>