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9B0B19">
              <w:rPr>
                <w:rFonts w:ascii="標楷體" w:eastAsia="標楷體" w:hAnsi="標楷體" w:cs="標楷體" w:hint="eastAsia"/>
                <w:color w:val="000000"/>
                <w:sz w:val="32"/>
                <w:szCs w:val="32"/>
              </w:rPr>
              <w:t>33</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A45B20"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w:t>
            </w:r>
            <w:r w:rsidR="00D92A15">
              <w:rPr>
                <w:rFonts w:ascii="標楷體" w:eastAsia="標楷體" w:hAnsi="標楷體" w:cs="標楷體" w:hint="eastAsia"/>
                <w:color w:val="000000"/>
                <w:sz w:val="32"/>
                <w:szCs w:val="32"/>
              </w:rPr>
              <w:t>處</w:t>
            </w:r>
          </w:p>
        </w:tc>
      </w:tr>
      <w:tr w:rsidR="00A972B1" w:rsidRPr="003562E1"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Pr="00CB288C" w:rsidRDefault="00D92A15" w:rsidP="00A45B20">
            <w:pPr>
              <w:pStyle w:val="a4"/>
              <w:rPr>
                <w:rFonts w:ascii="標楷體" w:eastAsia="標楷體" w:hAnsi="標楷體" w:cs="標楷體"/>
                <w:color w:val="000000"/>
                <w:sz w:val="32"/>
                <w:szCs w:val="32"/>
              </w:rPr>
            </w:pPr>
            <w:r w:rsidRPr="00D92A15">
              <w:rPr>
                <w:rFonts w:ascii="標楷體" w:eastAsia="標楷體" w:hAnsi="標楷體" w:hint="eastAsia"/>
                <w:sz w:val="32"/>
                <w:szCs w:val="32"/>
              </w:rPr>
              <w:t>有關</w:t>
            </w:r>
            <w:r>
              <w:rPr>
                <w:rFonts w:ascii="標楷體" w:eastAsia="標楷體" w:hAnsi="標楷體" w:hint="eastAsia"/>
                <w:sz w:val="32"/>
                <w:szCs w:val="32"/>
              </w:rPr>
              <w:t>審計處查核</w:t>
            </w:r>
            <w:r w:rsidR="00A45B20">
              <w:rPr>
                <w:rFonts w:ascii="標楷體" w:eastAsia="標楷體" w:hAnsi="標楷體" w:hint="eastAsia"/>
                <w:sz w:val="32"/>
                <w:szCs w:val="32"/>
              </w:rPr>
              <w:t>○○○○</w:t>
            </w:r>
            <w:r>
              <w:rPr>
                <w:rFonts w:ascii="標楷體" w:eastAsia="標楷體" w:hAnsi="標楷體" w:hint="eastAsia"/>
                <w:sz w:val="32"/>
                <w:szCs w:val="32"/>
              </w:rPr>
              <w:t>處新式候車亭電力申裝缺失之</w:t>
            </w:r>
            <w:r w:rsidRPr="00D92A15">
              <w:rPr>
                <w:rFonts w:ascii="標楷體" w:eastAsia="標楷體" w:hAnsi="標楷體" w:hint="eastAsia"/>
                <w:sz w:val="32"/>
                <w:szCs w:val="32"/>
              </w:rPr>
              <w:t>後續策進作為案</w:t>
            </w:r>
            <w:r w:rsidR="00A50FCD" w:rsidRPr="00D92A15">
              <w:rPr>
                <w:rFonts w:ascii="標楷體" w:eastAsia="標楷體" w:hAnsi="標楷體" w:hint="eastAsia"/>
                <w:sz w:val="32"/>
                <w:szCs w:val="32"/>
              </w:rPr>
              <w:t>，</w:t>
            </w:r>
            <w:r w:rsidR="00A50FCD" w:rsidRPr="00CB288C">
              <w:rPr>
                <w:rFonts w:ascii="標楷體" w:eastAsia="標楷體" w:hAnsi="標楷體" w:hint="eastAsia"/>
                <w:sz w:val="32"/>
                <w:szCs w:val="32"/>
              </w:rPr>
              <w:t>提請  審議</w:t>
            </w:r>
            <w:r w:rsidR="00B97300" w:rsidRPr="00CB288C">
              <w:rPr>
                <w:rFonts w:ascii="標楷體" w:eastAsia="標楷體" w:hAnsi="標楷體" w:hint="eastAsia"/>
                <w:bCs/>
                <w:spacing w:val="-4"/>
                <w:sz w:val="32"/>
                <w:szCs w:val="32"/>
              </w:rPr>
              <w:t>。</w:t>
            </w:r>
          </w:p>
        </w:tc>
      </w:tr>
      <w:tr w:rsidR="00A972B1" w:rsidRPr="00F14DCF" w:rsidTr="00BA38EC">
        <w:trPr>
          <w:trHeight w:val="699"/>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說</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明</w:t>
            </w:r>
          </w:p>
        </w:tc>
        <w:tc>
          <w:tcPr>
            <w:tcW w:w="8505" w:type="dxa"/>
            <w:gridSpan w:val="3"/>
          </w:tcPr>
          <w:p w:rsidR="00F96D3E" w:rsidRPr="00D92A15" w:rsidRDefault="00D92A15" w:rsidP="00D92A15">
            <w:pPr>
              <w:ind w:left="640" w:hangingChars="200" w:hanging="640"/>
              <w:rPr>
                <w:rFonts w:ascii="標楷體" w:eastAsia="標楷體" w:hAnsi="標楷體"/>
                <w:sz w:val="32"/>
                <w:szCs w:val="32"/>
              </w:rPr>
            </w:pPr>
            <w:r>
              <w:rPr>
                <w:rFonts w:ascii="標楷體" w:eastAsia="標楷體" w:hAnsi="標楷體" w:hint="eastAsia"/>
                <w:sz w:val="32"/>
                <w:szCs w:val="32"/>
              </w:rPr>
              <w:t>一</w:t>
            </w:r>
            <w:r w:rsidR="00A45B20">
              <w:rPr>
                <w:rFonts w:ascii="標楷體" w:eastAsia="標楷體" w:hAnsi="標楷體" w:hint="eastAsia"/>
                <w:sz w:val="32"/>
                <w:szCs w:val="32"/>
              </w:rPr>
              <w:t>、案緣審計部○○</w:t>
            </w:r>
            <w:r w:rsidRPr="00D92A15">
              <w:rPr>
                <w:rFonts w:ascii="標楷體" w:eastAsia="標楷體" w:hAnsi="標楷體" w:hint="eastAsia"/>
                <w:sz w:val="32"/>
                <w:szCs w:val="32"/>
              </w:rPr>
              <w:t>市審計處於105年3、4</w:t>
            </w:r>
            <w:r w:rsidR="00A45B20">
              <w:rPr>
                <w:rFonts w:ascii="標楷體" w:eastAsia="標楷體" w:hAnsi="標楷體" w:hint="eastAsia"/>
                <w:sz w:val="32"/>
                <w:szCs w:val="32"/>
              </w:rPr>
              <w:t>月間，審核○○○○</w:t>
            </w:r>
            <w:r w:rsidRPr="00D92A15">
              <w:rPr>
                <w:rFonts w:ascii="標楷體" w:eastAsia="標楷體" w:hAnsi="標楷體" w:hint="eastAsia"/>
                <w:sz w:val="32"/>
                <w:szCs w:val="32"/>
              </w:rPr>
              <w:t>處辦理「103年度汰換及增購公車候車亭(第2期)財物採購」案，查核缺失如下：</w:t>
            </w:r>
          </w:p>
          <w:p w:rsidR="00D92A15" w:rsidRPr="00D92A15" w:rsidRDefault="00D92A15" w:rsidP="00D92A15">
            <w:pPr>
              <w:ind w:left="960" w:hangingChars="300" w:hanging="960"/>
              <w:rPr>
                <w:rFonts w:ascii="標楷體" w:eastAsia="標楷體" w:hAnsi="標楷體"/>
                <w:sz w:val="32"/>
                <w:szCs w:val="32"/>
              </w:rPr>
            </w:pPr>
            <w:r w:rsidRPr="00D92A15">
              <w:rPr>
                <w:rFonts w:ascii="標楷體" w:eastAsia="標楷體" w:hAnsi="標楷體" w:hint="eastAsia"/>
                <w:sz w:val="32"/>
                <w:szCs w:val="32"/>
              </w:rPr>
              <w:t>（一）新式候車亭考量到後續</w:t>
            </w:r>
            <w:r w:rsidR="00A45B20">
              <w:rPr>
                <w:rFonts w:ascii="標楷體" w:eastAsia="標楷體" w:hAnsi="標楷體" w:hint="eastAsia"/>
                <w:sz w:val="32"/>
                <w:szCs w:val="32"/>
              </w:rPr>
              <w:t>附掛資訊動態系統及夜間照明等因素，已將電路系統納入設計考量。惟本</w:t>
            </w:r>
            <w:r w:rsidRPr="00D92A15">
              <w:rPr>
                <w:rFonts w:ascii="標楷體" w:eastAsia="標楷體" w:hAnsi="標楷體" w:hint="eastAsia"/>
                <w:sz w:val="32"/>
                <w:szCs w:val="32"/>
              </w:rPr>
              <w:t>該處設置之135座新式候車亭中，已接電者36座，尚未接電者99座，未接電之比率高達73.33%</w:t>
            </w:r>
            <w:r w:rsidR="00A45B20">
              <w:rPr>
                <w:rFonts w:ascii="標楷體" w:eastAsia="標楷體" w:hAnsi="標楷體" w:hint="eastAsia"/>
                <w:sz w:val="32"/>
                <w:szCs w:val="32"/>
              </w:rPr>
              <w:t>，且仍未規劃接電時間表。此案顯示本</w:t>
            </w:r>
            <w:r w:rsidRPr="00D92A15">
              <w:rPr>
                <w:rFonts w:ascii="標楷體" w:eastAsia="標楷體" w:hAnsi="標楷體" w:hint="eastAsia"/>
                <w:sz w:val="32"/>
                <w:szCs w:val="32"/>
              </w:rPr>
              <w:t>處有關與台電公司等相關單位橫向聯繫及新式候車亭電力申裝內部管控，尚須研謀改善。</w:t>
            </w:r>
          </w:p>
          <w:p w:rsidR="00D92A15" w:rsidRPr="00D92A15" w:rsidRDefault="00D92A15" w:rsidP="00D92A15">
            <w:pPr>
              <w:ind w:left="960" w:hangingChars="300" w:hanging="960"/>
              <w:rPr>
                <w:rFonts w:ascii="標楷體" w:eastAsia="標楷體" w:hAnsi="標楷體"/>
                <w:sz w:val="32"/>
                <w:szCs w:val="32"/>
              </w:rPr>
            </w:pPr>
            <w:r w:rsidRPr="00D92A15">
              <w:rPr>
                <w:rFonts w:ascii="標楷體" w:eastAsia="標楷體" w:hAnsi="標楷體" w:hint="eastAsia"/>
                <w:sz w:val="32"/>
                <w:szCs w:val="32"/>
              </w:rPr>
              <w:t>（二）建置之新式候車亭電力申裝情形不佳</w:t>
            </w:r>
            <w:r>
              <w:rPr>
                <w:rFonts w:ascii="標楷體" w:eastAsia="標楷體" w:hAnsi="標楷體" w:hint="eastAsia"/>
                <w:sz w:val="32"/>
                <w:szCs w:val="32"/>
              </w:rPr>
              <w:t>情形</w:t>
            </w:r>
            <w:r w:rsidRPr="00D92A15">
              <w:rPr>
                <w:rFonts w:ascii="標楷體" w:eastAsia="標楷體" w:hAnsi="標楷體" w:hint="eastAsia"/>
                <w:sz w:val="32"/>
                <w:szCs w:val="32"/>
              </w:rPr>
              <w:t>，將減損候車亭原設計效能，且影響後續附掛智慧型站牌之期程。</w:t>
            </w:r>
          </w:p>
          <w:p w:rsidR="00D92A15" w:rsidRPr="003F3D86" w:rsidRDefault="00D92A15" w:rsidP="00D92A15">
            <w:pPr>
              <w:ind w:left="640" w:hangingChars="200" w:hanging="640"/>
              <w:rPr>
                <w:rFonts w:ascii="標楷體" w:eastAsia="標楷體" w:hAnsi="標楷體"/>
                <w:sz w:val="32"/>
                <w:szCs w:val="32"/>
              </w:rPr>
            </w:pPr>
            <w:r>
              <w:rPr>
                <w:rFonts w:ascii="標楷體" w:eastAsia="標楷體" w:hAnsi="標楷體" w:hint="eastAsia"/>
                <w:sz w:val="32"/>
                <w:szCs w:val="32"/>
              </w:rPr>
              <w:t>二、針對</w:t>
            </w:r>
            <w:r w:rsidR="003674AA">
              <w:rPr>
                <w:rFonts w:ascii="標楷體" w:eastAsia="標楷體" w:hAnsi="標楷體" w:hint="eastAsia"/>
                <w:sz w:val="32"/>
                <w:szCs w:val="32"/>
              </w:rPr>
              <w:t>上揭</w:t>
            </w:r>
            <w:r>
              <w:rPr>
                <w:rFonts w:ascii="標楷體" w:eastAsia="標楷體" w:hAnsi="標楷體" w:hint="eastAsia"/>
                <w:sz w:val="32"/>
                <w:szCs w:val="32"/>
              </w:rPr>
              <w:t>審計處查核缺失，</w:t>
            </w:r>
            <w:r w:rsidRPr="00C81F3D">
              <w:rPr>
                <w:rFonts w:ascii="標楷體" w:eastAsia="標楷體" w:hAnsi="標楷體" w:hint="eastAsia"/>
                <w:sz w:val="32"/>
                <w:szCs w:val="28"/>
              </w:rPr>
              <w:t>為落實內部控制及風險管理</w:t>
            </w:r>
            <w:r>
              <w:rPr>
                <w:rFonts w:ascii="標楷體" w:eastAsia="標楷體" w:hAnsi="標楷體" w:hint="eastAsia"/>
                <w:sz w:val="32"/>
                <w:szCs w:val="28"/>
              </w:rPr>
              <w:t>，</w:t>
            </w:r>
            <w:r w:rsidR="007B03E1">
              <w:rPr>
                <w:rFonts w:ascii="標楷體" w:eastAsia="標楷體" w:hAnsi="標楷體" w:hint="eastAsia"/>
                <w:sz w:val="32"/>
                <w:szCs w:val="28"/>
              </w:rPr>
              <w:t>爰</w:t>
            </w:r>
            <w:r w:rsidR="003674AA">
              <w:rPr>
                <w:rFonts w:ascii="標楷體" w:eastAsia="標楷體" w:hAnsi="標楷體" w:hint="eastAsia"/>
                <w:sz w:val="32"/>
                <w:szCs w:val="28"/>
              </w:rPr>
              <w:t>研擬具體興革作為</w:t>
            </w:r>
            <w:r w:rsidR="007B03E1">
              <w:rPr>
                <w:rFonts w:ascii="標楷體" w:eastAsia="標楷體" w:hAnsi="標楷體" w:hint="eastAsia"/>
                <w:sz w:val="32"/>
                <w:szCs w:val="28"/>
              </w:rPr>
              <w:t>如下</w:t>
            </w:r>
            <w:r w:rsidR="003674AA">
              <w:rPr>
                <w:rFonts w:ascii="標楷體" w:eastAsia="標楷體" w:hAnsi="標楷體" w:hint="eastAsia"/>
                <w:sz w:val="32"/>
                <w:szCs w:val="28"/>
              </w:rPr>
              <w:t>。</w:t>
            </w:r>
          </w:p>
        </w:tc>
      </w:tr>
      <w:tr w:rsidR="00A972B1" w:rsidTr="00C62BB6">
        <w:trPr>
          <w:trHeight w:val="557"/>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D92A15" w:rsidRPr="007B03E1" w:rsidRDefault="003674AA" w:rsidP="003674AA">
            <w:pPr>
              <w:ind w:left="960" w:hangingChars="300" w:hanging="960"/>
              <w:rPr>
                <w:rFonts w:ascii="標楷體" w:eastAsia="標楷體" w:hAnsi="標楷體"/>
                <w:sz w:val="32"/>
                <w:szCs w:val="32"/>
              </w:rPr>
            </w:pPr>
            <w:r w:rsidRPr="007B03E1">
              <w:rPr>
                <w:rFonts w:ascii="標楷體" w:eastAsia="標楷體" w:hAnsi="標楷體" w:hint="eastAsia"/>
                <w:sz w:val="32"/>
                <w:szCs w:val="32"/>
              </w:rPr>
              <w:t>一、</w:t>
            </w:r>
            <w:r w:rsidR="007B03E1" w:rsidRPr="007B03E1">
              <w:rPr>
                <w:rFonts w:ascii="標楷體" w:eastAsia="標楷體" w:hAnsi="標楷體" w:hint="eastAsia"/>
                <w:sz w:val="32"/>
                <w:szCs w:val="32"/>
              </w:rPr>
              <w:t>作業</w:t>
            </w:r>
            <w:r w:rsidR="00D92A15" w:rsidRPr="007B03E1">
              <w:rPr>
                <w:rFonts w:ascii="標楷體" w:eastAsia="標楷體" w:hAnsi="標楷體"/>
                <w:sz w:val="32"/>
                <w:szCs w:val="32"/>
              </w:rPr>
              <w:t>面：</w:t>
            </w:r>
          </w:p>
          <w:p w:rsidR="00D92A15" w:rsidRPr="007B03E1" w:rsidRDefault="00D92A15" w:rsidP="007B03E1">
            <w:pPr>
              <w:ind w:leftChars="249" w:left="598"/>
              <w:rPr>
                <w:rFonts w:ascii="標楷體" w:eastAsia="標楷體" w:hAnsi="標楷體"/>
                <w:sz w:val="32"/>
                <w:szCs w:val="32"/>
              </w:rPr>
            </w:pPr>
            <w:r w:rsidRPr="007B03E1">
              <w:rPr>
                <w:rFonts w:ascii="標楷體" w:eastAsia="標楷體" w:hAnsi="標楷體"/>
                <w:sz w:val="32"/>
                <w:szCs w:val="32"/>
              </w:rPr>
              <w:t>公車候車亭接電涉及台電公司不同部門，經與該公司召會研商並達成共識後，共同擬定接電作業相關作業時間。</w:t>
            </w:r>
          </w:p>
          <w:p w:rsidR="00D92A15" w:rsidRPr="007B03E1" w:rsidRDefault="00D92A15" w:rsidP="003674AA">
            <w:pPr>
              <w:ind w:left="960" w:hangingChars="300" w:hanging="960"/>
              <w:rPr>
                <w:rFonts w:ascii="標楷體" w:eastAsia="標楷體" w:hAnsi="標楷體"/>
                <w:sz w:val="32"/>
                <w:szCs w:val="32"/>
              </w:rPr>
            </w:pPr>
            <w:r w:rsidRPr="007B03E1">
              <w:rPr>
                <w:rFonts w:ascii="標楷體" w:eastAsia="標楷體" w:hAnsi="標楷體" w:hint="eastAsia"/>
                <w:sz w:val="32"/>
                <w:szCs w:val="32"/>
              </w:rPr>
              <w:t>二、制度面：</w:t>
            </w:r>
          </w:p>
          <w:p w:rsidR="007B03E1" w:rsidRDefault="007B03E1" w:rsidP="007B03E1">
            <w:pPr>
              <w:ind w:left="960" w:hangingChars="300" w:hanging="960"/>
              <w:rPr>
                <w:rFonts w:ascii="標楷體" w:eastAsia="標楷體" w:hAnsi="標楷體"/>
                <w:sz w:val="32"/>
                <w:szCs w:val="32"/>
              </w:rPr>
            </w:pPr>
            <w:r w:rsidRPr="007B03E1">
              <w:rPr>
                <w:rFonts w:ascii="標楷體" w:eastAsia="標楷體" w:hAnsi="標楷體" w:hint="eastAsia"/>
                <w:sz w:val="32"/>
                <w:szCs w:val="32"/>
              </w:rPr>
              <w:t>（一）</w:t>
            </w:r>
            <w:r w:rsidR="00D92A15" w:rsidRPr="007B03E1">
              <w:rPr>
                <w:rFonts w:ascii="標楷體" w:eastAsia="標楷體" w:hAnsi="標楷體" w:hint="eastAsia"/>
                <w:sz w:val="32"/>
                <w:szCs w:val="32"/>
              </w:rPr>
              <w:t>針對已設置之新式候車亭部分，相關作業事項如下</w:t>
            </w:r>
            <w:r>
              <w:rPr>
                <w:rFonts w:ascii="新細明體" w:hAnsi="新細明體" w:hint="eastAsia"/>
                <w:sz w:val="32"/>
                <w:szCs w:val="32"/>
              </w:rPr>
              <w:t>：</w:t>
            </w:r>
          </w:p>
          <w:p w:rsidR="00D92A15" w:rsidRPr="007B03E1" w:rsidRDefault="00D92A15" w:rsidP="007B03E1">
            <w:pPr>
              <w:ind w:leftChars="191" w:left="957" w:hangingChars="156" w:hanging="499"/>
              <w:rPr>
                <w:rFonts w:ascii="標楷體" w:eastAsia="標楷體" w:hAnsi="標楷體"/>
                <w:sz w:val="32"/>
                <w:szCs w:val="32"/>
              </w:rPr>
            </w:pPr>
            <w:r w:rsidRPr="007B03E1">
              <w:rPr>
                <w:rFonts w:ascii="標楷體" w:eastAsia="標楷體" w:hAnsi="標楷體"/>
                <w:sz w:val="32"/>
                <w:szCs w:val="32"/>
              </w:rPr>
              <w:lastRenderedPageBreak/>
              <w:t>1</w:t>
            </w:r>
            <w:r w:rsidRPr="007B03E1">
              <w:rPr>
                <w:rFonts w:ascii="標楷體" w:eastAsia="標楷體" w:hAnsi="標楷體" w:hint="eastAsia"/>
                <w:sz w:val="32"/>
                <w:szCs w:val="32"/>
              </w:rPr>
              <w:t>.</w:t>
            </w:r>
            <w:r w:rsidRPr="007B03E1">
              <w:rPr>
                <w:rFonts w:ascii="標楷體" w:eastAsia="標楷體" w:hAnsi="標楷體"/>
                <w:sz w:val="32"/>
                <w:szCs w:val="32"/>
              </w:rPr>
              <w:t>邀集相關單位辦理會勘確認電力來源及管線障礙</w:t>
            </w:r>
            <w:r w:rsidR="007B03E1">
              <w:rPr>
                <w:rFonts w:ascii="標楷體" w:eastAsia="標楷體" w:hAnsi="標楷體" w:hint="eastAsia"/>
                <w:sz w:val="32"/>
                <w:szCs w:val="32"/>
              </w:rPr>
              <w:t>。</w:t>
            </w:r>
          </w:p>
          <w:p w:rsidR="00D92A15" w:rsidRPr="007B03E1" w:rsidRDefault="00D92A15" w:rsidP="003674AA">
            <w:pPr>
              <w:ind w:left="960" w:hangingChars="300" w:hanging="960"/>
              <w:rPr>
                <w:rFonts w:ascii="標楷體" w:eastAsia="標楷體" w:hAnsi="標楷體"/>
                <w:sz w:val="32"/>
                <w:szCs w:val="32"/>
              </w:rPr>
            </w:pPr>
            <w:r w:rsidRPr="007B03E1">
              <w:rPr>
                <w:rFonts w:ascii="標楷體" w:eastAsia="標楷體" w:hAnsi="標楷體"/>
                <w:sz w:val="32"/>
                <w:szCs w:val="32"/>
              </w:rPr>
              <w:t xml:space="preserve">   2</w:t>
            </w:r>
            <w:r w:rsidRPr="007B03E1">
              <w:rPr>
                <w:rFonts w:ascii="標楷體" w:eastAsia="標楷體" w:hAnsi="標楷體" w:hint="eastAsia"/>
                <w:sz w:val="32"/>
                <w:szCs w:val="32"/>
              </w:rPr>
              <w:t>.</w:t>
            </w:r>
            <w:r w:rsidRPr="007B03E1">
              <w:rPr>
                <w:rFonts w:ascii="標楷體" w:eastAsia="標楷體" w:hAnsi="標楷體"/>
                <w:sz w:val="32"/>
                <w:szCs w:val="32"/>
              </w:rPr>
              <w:t>辦理相關申請步驟</w:t>
            </w:r>
            <w:r w:rsidR="007B03E1">
              <w:rPr>
                <w:rFonts w:ascii="標楷體" w:eastAsia="標楷體" w:hAnsi="標楷體" w:hint="eastAsia"/>
                <w:sz w:val="32"/>
                <w:szCs w:val="32"/>
              </w:rPr>
              <w:t>（</w:t>
            </w:r>
            <w:r w:rsidRPr="007B03E1">
              <w:rPr>
                <w:rFonts w:ascii="標楷體" w:eastAsia="標楷體" w:hAnsi="標楷體"/>
                <w:sz w:val="32"/>
                <w:szCs w:val="32"/>
              </w:rPr>
              <w:t>用電申請及路證申請</w:t>
            </w:r>
            <w:r w:rsidR="007B03E1">
              <w:rPr>
                <w:rFonts w:ascii="新細明體" w:hAnsi="新細明體" w:hint="eastAsia"/>
                <w:sz w:val="32"/>
                <w:szCs w:val="32"/>
              </w:rPr>
              <w:t>）</w:t>
            </w:r>
            <w:r w:rsidR="007B03E1">
              <w:rPr>
                <w:rFonts w:ascii="標楷體" w:eastAsia="標楷體" w:hAnsi="標楷體" w:hint="eastAsia"/>
                <w:sz w:val="32"/>
                <w:szCs w:val="32"/>
              </w:rPr>
              <w:t>。</w:t>
            </w:r>
          </w:p>
          <w:p w:rsidR="00D92A15" w:rsidRPr="007B03E1" w:rsidRDefault="00D92A15" w:rsidP="003674AA">
            <w:pPr>
              <w:ind w:left="960" w:hangingChars="300" w:hanging="960"/>
              <w:rPr>
                <w:rFonts w:ascii="標楷體" w:eastAsia="標楷體" w:hAnsi="標楷體"/>
                <w:sz w:val="32"/>
                <w:szCs w:val="32"/>
              </w:rPr>
            </w:pPr>
            <w:r w:rsidRPr="007B03E1">
              <w:rPr>
                <w:rFonts w:ascii="標楷體" w:eastAsia="標楷體" w:hAnsi="標楷體"/>
                <w:sz w:val="32"/>
                <w:szCs w:val="32"/>
              </w:rPr>
              <w:t xml:space="preserve">   3</w:t>
            </w:r>
            <w:r w:rsidRPr="007B03E1">
              <w:rPr>
                <w:rFonts w:ascii="標楷體" w:eastAsia="標楷體" w:hAnsi="標楷體" w:hint="eastAsia"/>
                <w:sz w:val="32"/>
                <w:szCs w:val="32"/>
              </w:rPr>
              <w:t>.</w:t>
            </w:r>
            <w:r w:rsidRPr="007B03E1">
              <w:rPr>
                <w:rFonts w:ascii="標楷體" w:eastAsia="標楷體" w:hAnsi="標楷體"/>
                <w:sz w:val="32"/>
                <w:szCs w:val="32"/>
              </w:rPr>
              <w:t>辦理施工挖掘</w:t>
            </w:r>
            <w:r w:rsidR="007B03E1">
              <w:rPr>
                <w:rFonts w:ascii="標楷體" w:eastAsia="標楷體" w:hAnsi="標楷體" w:hint="eastAsia"/>
                <w:sz w:val="32"/>
                <w:szCs w:val="32"/>
              </w:rPr>
              <w:t>。</w:t>
            </w:r>
          </w:p>
          <w:p w:rsidR="00D92A15" w:rsidRPr="007B03E1" w:rsidRDefault="00D92A15" w:rsidP="003674AA">
            <w:pPr>
              <w:ind w:left="960" w:hangingChars="300" w:hanging="960"/>
              <w:rPr>
                <w:rFonts w:ascii="標楷體" w:eastAsia="標楷體" w:hAnsi="標楷體"/>
                <w:sz w:val="32"/>
                <w:szCs w:val="32"/>
              </w:rPr>
            </w:pPr>
            <w:r w:rsidRPr="007B03E1">
              <w:rPr>
                <w:rFonts w:ascii="標楷體" w:eastAsia="標楷體" w:hAnsi="標楷體"/>
                <w:sz w:val="32"/>
                <w:szCs w:val="32"/>
              </w:rPr>
              <w:t xml:space="preserve">   4</w:t>
            </w:r>
            <w:r w:rsidRPr="007B03E1">
              <w:rPr>
                <w:rFonts w:ascii="標楷體" w:eastAsia="標楷體" w:hAnsi="標楷體" w:hint="eastAsia"/>
                <w:sz w:val="32"/>
                <w:szCs w:val="32"/>
              </w:rPr>
              <w:t>.</w:t>
            </w:r>
            <w:r w:rsidRPr="007B03E1">
              <w:rPr>
                <w:rFonts w:ascii="標楷體" w:eastAsia="標楷體" w:hAnsi="標楷體"/>
                <w:sz w:val="32"/>
                <w:szCs w:val="32"/>
              </w:rPr>
              <w:t>待台電完成接管及穿線後，辦理報竣作業</w:t>
            </w:r>
            <w:r w:rsidR="007B03E1">
              <w:rPr>
                <w:rFonts w:ascii="標楷體" w:eastAsia="標楷體" w:hAnsi="標楷體" w:hint="eastAsia"/>
                <w:sz w:val="32"/>
                <w:szCs w:val="32"/>
              </w:rPr>
              <w:t>。</w:t>
            </w:r>
          </w:p>
          <w:p w:rsidR="00D92A15" w:rsidRPr="007B03E1" w:rsidRDefault="00D92A15" w:rsidP="007B03E1">
            <w:pPr>
              <w:ind w:left="800" w:hangingChars="250" w:hanging="800"/>
              <w:rPr>
                <w:rFonts w:ascii="標楷體" w:eastAsia="標楷體" w:hAnsi="標楷體"/>
                <w:sz w:val="32"/>
                <w:szCs w:val="32"/>
              </w:rPr>
            </w:pPr>
            <w:r w:rsidRPr="007B03E1">
              <w:rPr>
                <w:rFonts w:ascii="標楷體" w:eastAsia="標楷體" w:hAnsi="標楷體"/>
                <w:sz w:val="32"/>
                <w:szCs w:val="32"/>
              </w:rPr>
              <w:t xml:space="preserve">   5</w:t>
            </w:r>
            <w:r w:rsidRPr="007B03E1">
              <w:rPr>
                <w:rFonts w:ascii="標楷體" w:eastAsia="標楷體" w:hAnsi="標楷體" w:hint="eastAsia"/>
                <w:sz w:val="32"/>
                <w:szCs w:val="32"/>
              </w:rPr>
              <w:t>.</w:t>
            </w:r>
            <w:r w:rsidRPr="007B03E1">
              <w:rPr>
                <w:rFonts w:ascii="標楷體" w:eastAsia="標楷體" w:hAnsi="標楷體"/>
                <w:sz w:val="32"/>
                <w:szCs w:val="32"/>
              </w:rPr>
              <w:t>上述各階段皆會積極與各單位進行協調及了解案件進度</w:t>
            </w:r>
            <w:r w:rsidR="007B03E1">
              <w:rPr>
                <w:rFonts w:ascii="標楷體" w:eastAsia="標楷體" w:hAnsi="標楷體" w:hint="eastAsia"/>
                <w:sz w:val="32"/>
                <w:szCs w:val="32"/>
              </w:rPr>
              <w:t>。</w:t>
            </w:r>
          </w:p>
          <w:p w:rsidR="00D92A15" w:rsidRPr="007B03E1" w:rsidRDefault="007B03E1" w:rsidP="003674AA">
            <w:pPr>
              <w:ind w:left="960" w:hangingChars="300" w:hanging="960"/>
              <w:rPr>
                <w:rFonts w:ascii="標楷體" w:eastAsia="標楷體" w:hAnsi="標楷體"/>
                <w:sz w:val="32"/>
                <w:szCs w:val="32"/>
              </w:rPr>
            </w:pPr>
            <w:r w:rsidRPr="007B03E1">
              <w:rPr>
                <w:rFonts w:ascii="標楷體" w:eastAsia="標楷體" w:hAnsi="標楷體" w:hint="eastAsia"/>
                <w:sz w:val="32"/>
                <w:szCs w:val="32"/>
              </w:rPr>
              <w:t>（</w:t>
            </w:r>
            <w:r>
              <w:rPr>
                <w:rFonts w:ascii="標楷體" w:eastAsia="標楷體" w:hAnsi="標楷體" w:hint="eastAsia"/>
                <w:sz w:val="32"/>
                <w:szCs w:val="32"/>
              </w:rPr>
              <w:t>二</w:t>
            </w:r>
            <w:r w:rsidRPr="007B03E1">
              <w:rPr>
                <w:rFonts w:ascii="標楷體" w:eastAsia="標楷體" w:hAnsi="標楷體" w:hint="eastAsia"/>
                <w:sz w:val="32"/>
                <w:szCs w:val="32"/>
              </w:rPr>
              <w:t>）</w:t>
            </w:r>
            <w:r w:rsidR="00D92A15" w:rsidRPr="007B03E1">
              <w:rPr>
                <w:rFonts w:ascii="標楷體" w:eastAsia="標楷體" w:hAnsi="標楷體"/>
                <w:sz w:val="32"/>
                <w:szCs w:val="32"/>
              </w:rPr>
              <w:t>針對未來新設之新式候車亭部分，為避免設置後無電力時間過久，相關作業事項如下：</w:t>
            </w:r>
          </w:p>
          <w:p w:rsidR="00D92A15" w:rsidRPr="007B03E1" w:rsidRDefault="00D92A15" w:rsidP="003674AA">
            <w:pPr>
              <w:ind w:left="960" w:hangingChars="300" w:hanging="960"/>
              <w:rPr>
                <w:rFonts w:ascii="標楷體" w:eastAsia="標楷體" w:hAnsi="標楷體"/>
                <w:sz w:val="32"/>
                <w:szCs w:val="32"/>
              </w:rPr>
            </w:pPr>
            <w:r w:rsidRPr="007B03E1">
              <w:rPr>
                <w:rFonts w:ascii="標楷體" w:eastAsia="標楷體" w:hAnsi="標楷體" w:hint="eastAsia"/>
                <w:sz w:val="32"/>
                <w:szCs w:val="32"/>
              </w:rPr>
              <w:t xml:space="preserve">   </w:t>
            </w:r>
            <w:r w:rsidRPr="007B03E1">
              <w:rPr>
                <w:rFonts w:ascii="標楷體" w:eastAsia="標楷體" w:hAnsi="標楷體"/>
                <w:sz w:val="32"/>
                <w:szCs w:val="32"/>
              </w:rPr>
              <w:t>1</w:t>
            </w:r>
            <w:r w:rsidRPr="007B03E1">
              <w:rPr>
                <w:rFonts w:ascii="標楷體" w:eastAsia="標楷體" w:hAnsi="標楷體" w:hint="eastAsia"/>
                <w:sz w:val="32"/>
                <w:szCs w:val="32"/>
              </w:rPr>
              <w:t>.</w:t>
            </w:r>
            <w:r w:rsidRPr="007B03E1">
              <w:rPr>
                <w:rFonts w:ascii="標楷體" w:eastAsia="標楷體" w:hAnsi="標楷體"/>
                <w:sz w:val="32"/>
                <w:szCs w:val="32"/>
              </w:rPr>
              <w:t>候車亭確定設置位置</w:t>
            </w:r>
            <w:r w:rsidR="007B03E1">
              <w:rPr>
                <w:rFonts w:ascii="標楷體" w:eastAsia="標楷體" w:hAnsi="標楷體" w:hint="eastAsia"/>
                <w:sz w:val="32"/>
                <w:szCs w:val="32"/>
              </w:rPr>
              <w:t>。</w:t>
            </w:r>
          </w:p>
          <w:p w:rsidR="007B03E1" w:rsidRDefault="00D92A15" w:rsidP="007B03E1">
            <w:pPr>
              <w:ind w:left="800" w:hangingChars="250" w:hanging="800"/>
              <w:rPr>
                <w:rFonts w:ascii="標楷體" w:eastAsia="標楷體" w:hAnsi="標楷體"/>
                <w:sz w:val="32"/>
                <w:szCs w:val="32"/>
              </w:rPr>
            </w:pPr>
            <w:r w:rsidRPr="007B03E1">
              <w:rPr>
                <w:rFonts w:ascii="標楷體" w:eastAsia="標楷體" w:hAnsi="標楷體" w:hint="eastAsia"/>
                <w:sz w:val="32"/>
                <w:szCs w:val="32"/>
              </w:rPr>
              <w:t xml:space="preserve">   </w:t>
            </w:r>
            <w:r w:rsidRPr="007B03E1">
              <w:rPr>
                <w:rFonts w:ascii="標楷體" w:eastAsia="標楷體" w:hAnsi="標楷體"/>
                <w:sz w:val="32"/>
                <w:szCs w:val="32"/>
              </w:rPr>
              <w:t>2</w:t>
            </w:r>
            <w:r w:rsidRPr="007B03E1">
              <w:rPr>
                <w:rFonts w:ascii="標楷體" w:eastAsia="標楷體" w:hAnsi="標楷體" w:hint="eastAsia"/>
                <w:sz w:val="32"/>
                <w:szCs w:val="32"/>
              </w:rPr>
              <w:t>.</w:t>
            </w:r>
            <w:r w:rsidRPr="007B03E1">
              <w:rPr>
                <w:rFonts w:ascii="標楷體" w:eastAsia="標楷體" w:hAnsi="標楷體"/>
                <w:sz w:val="32"/>
                <w:szCs w:val="32"/>
              </w:rPr>
              <w:t>依據預計設置位置邀集相關單位辦理會勘確認電力來源及管線障礙</w:t>
            </w:r>
            <w:r w:rsidR="007B03E1">
              <w:rPr>
                <w:rFonts w:ascii="標楷體" w:eastAsia="標楷體" w:hAnsi="標楷體" w:hint="eastAsia"/>
                <w:sz w:val="32"/>
                <w:szCs w:val="32"/>
              </w:rPr>
              <w:t>。</w:t>
            </w:r>
          </w:p>
          <w:p w:rsidR="00D92A15" w:rsidRPr="007B03E1" w:rsidRDefault="00D92A15" w:rsidP="007B03E1">
            <w:pPr>
              <w:ind w:leftChars="191" w:left="797" w:hangingChars="106" w:hanging="339"/>
              <w:rPr>
                <w:rFonts w:ascii="標楷體" w:eastAsia="標楷體" w:hAnsi="標楷體"/>
                <w:sz w:val="32"/>
                <w:szCs w:val="32"/>
              </w:rPr>
            </w:pPr>
            <w:r w:rsidRPr="007B03E1">
              <w:rPr>
                <w:rFonts w:ascii="標楷體" w:eastAsia="標楷體" w:hAnsi="標楷體" w:hint="eastAsia"/>
                <w:sz w:val="32"/>
                <w:szCs w:val="32"/>
              </w:rPr>
              <w:t>3.辦理相關申請步驟</w:t>
            </w:r>
            <w:r w:rsidR="007B03E1">
              <w:rPr>
                <w:rFonts w:ascii="標楷體" w:eastAsia="標楷體" w:hAnsi="標楷體" w:hint="eastAsia"/>
                <w:sz w:val="32"/>
                <w:szCs w:val="32"/>
              </w:rPr>
              <w:t>（</w:t>
            </w:r>
            <w:r w:rsidRPr="007B03E1">
              <w:rPr>
                <w:rFonts w:ascii="標楷體" w:eastAsia="標楷體" w:hAnsi="標楷體" w:hint="eastAsia"/>
                <w:sz w:val="32"/>
                <w:szCs w:val="32"/>
              </w:rPr>
              <w:t>用電申請及路證申請</w:t>
            </w:r>
            <w:r w:rsidR="007B03E1">
              <w:rPr>
                <w:rFonts w:ascii="新細明體" w:hAnsi="新細明體" w:hint="eastAsia"/>
                <w:sz w:val="32"/>
                <w:szCs w:val="32"/>
              </w:rPr>
              <w:t>）</w:t>
            </w:r>
            <w:r w:rsidR="007B03E1">
              <w:rPr>
                <w:rFonts w:ascii="標楷體" w:eastAsia="標楷體" w:hAnsi="標楷體" w:hint="eastAsia"/>
                <w:sz w:val="32"/>
                <w:szCs w:val="32"/>
              </w:rPr>
              <w:t>。</w:t>
            </w:r>
          </w:p>
          <w:p w:rsidR="00D92A15" w:rsidRPr="007B03E1" w:rsidRDefault="00D92A15" w:rsidP="007B03E1">
            <w:pPr>
              <w:ind w:left="800" w:hangingChars="250" w:hanging="800"/>
              <w:rPr>
                <w:rFonts w:ascii="標楷體" w:eastAsia="標楷體" w:hAnsi="標楷體"/>
                <w:sz w:val="32"/>
                <w:szCs w:val="32"/>
              </w:rPr>
            </w:pPr>
            <w:r w:rsidRPr="007B03E1">
              <w:rPr>
                <w:rFonts w:ascii="標楷體" w:eastAsia="標楷體" w:hAnsi="標楷體" w:hint="eastAsia"/>
                <w:sz w:val="32"/>
                <w:szCs w:val="32"/>
              </w:rPr>
              <w:t xml:space="preserve">   4.與候車亭路證併案辦理挖掘</w:t>
            </w:r>
            <w:r w:rsidR="007B03E1">
              <w:rPr>
                <w:rFonts w:ascii="標楷體" w:eastAsia="標楷體" w:hAnsi="標楷體" w:hint="eastAsia"/>
                <w:sz w:val="32"/>
                <w:szCs w:val="32"/>
              </w:rPr>
              <w:t>。</w:t>
            </w:r>
          </w:p>
          <w:p w:rsidR="00D92A15" w:rsidRPr="007B03E1" w:rsidRDefault="00D92A15" w:rsidP="007B03E1">
            <w:pPr>
              <w:ind w:left="800" w:hangingChars="250" w:hanging="800"/>
              <w:rPr>
                <w:rFonts w:ascii="標楷體" w:eastAsia="標楷體" w:hAnsi="標楷體"/>
                <w:sz w:val="32"/>
                <w:szCs w:val="32"/>
              </w:rPr>
            </w:pPr>
            <w:r w:rsidRPr="007B03E1">
              <w:rPr>
                <w:rFonts w:ascii="標楷體" w:eastAsia="標楷體" w:hAnsi="標楷體" w:hint="eastAsia"/>
                <w:sz w:val="32"/>
                <w:szCs w:val="32"/>
              </w:rPr>
              <w:t xml:space="preserve">   5.待台電完成接管及穿線後，辦理報竣作業</w:t>
            </w:r>
            <w:r w:rsidR="007B03E1">
              <w:rPr>
                <w:rFonts w:ascii="標楷體" w:eastAsia="標楷體" w:hAnsi="標楷體" w:hint="eastAsia"/>
                <w:sz w:val="32"/>
                <w:szCs w:val="32"/>
              </w:rPr>
              <w:t>。</w:t>
            </w:r>
          </w:p>
          <w:p w:rsidR="00D92A15" w:rsidRPr="007B03E1" w:rsidRDefault="00D92A15" w:rsidP="007B03E1">
            <w:pPr>
              <w:ind w:left="800" w:hangingChars="250" w:hanging="800"/>
              <w:rPr>
                <w:rFonts w:ascii="標楷體" w:eastAsia="標楷體" w:hAnsi="標楷體"/>
                <w:sz w:val="32"/>
                <w:szCs w:val="32"/>
              </w:rPr>
            </w:pPr>
            <w:r w:rsidRPr="007B03E1">
              <w:rPr>
                <w:rFonts w:ascii="標楷體" w:eastAsia="標楷體" w:hAnsi="標楷體" w:hint="eastAsia"/>
                <w:sz w:val="32"/>
                <w:szCs w:val="32"/>
              </w:rPr>
              <w:t xml:space="preserve">   6.上述各階段皆會積極與各單位進行協調及了解案件進度</w:t>
            </w:r>
            <w:r w:rsidR="007B03E1">
              <w:rPr>
                <w:rFonts w:ascii="標楷體" w:eastAsia="標楷體" w:hAnsi="標楷體" w:hint="eastAsia"/>
                <w:sz w:val="32"/>
                <w:szCs w:val="32"/>
              </w:rPr>
              <w:t>。</w:t>
            </w:r>
          </w:p>
          <w:p w:rsidR="00D92A15" w:rsidRPr="007B03E1" w:rsidRDefault="00D92A15" w:rsidP="003674AA">
            <w:pPr>
              <w:ind w:left="960" w:hangingChars="300" w:hanging="960"/>
              <w:rPr>
                <w:rFonts w:ascii="標楷體" w:eastAsia="標楷體" w:hAnsi="標楷體"/>
                <w:sz w:val="32"/>
                <w:szCs w:val="32"/>
              </w:rPr>
            </w:pPr>
            <w:r w:rsidRPr="007B03E1">
              <w:rPr>
                <w:rFonts w:ascii="標楷體" w:eastAsia="標楷體" w:hAnsi="標楷體" w:hint="eastAsia"/>
                <w:sz w:val="32"/>
                <w:szCs w:val="32"/>
              </w:rPr>
              <w:t>三、</w:t>
            </w:r>
            <w:r w:rsidRPr="007B03E1">
              <w:rPr>
                <w:rFonts w:ascii="標楷體" w:eastAsia="標楷體" w:hAnsi="標楷體"/>
                <w:sz w:val="32"/>
                <w:szCs w:val="32"/>
              </w:rPr>
              <w:t>系統面：</w:t>
            </w:r>
          </w:p>
          <w:p w:rsidR="003B03AD" w:rsidRPr="00F96D3E" w:rsidRDefault="00D92A15" w:rsidP="007B03E1">
            <w:pPr>
              <w:ind w:leftChars="249" w:left="598"/>
              <w:rPr>
                <w:rFonts w:ascii="標楷體" w:eastAsia="標楷體" w:hAnsi="標楷體"/>
                <w:sz w:val="32"/>
                <w:szCs w:val="32"/>
              </w:rPr>
            </w:pPr>
            <w:r w:rsidRPr="007B03E1">
              <w:rPr>
                <w:rFonts w:ascii="標楷體" w:eastAsia="標楷體" w:hAnsi="標楷體"/>
                <w:sz w:val="32"/>
                <w:szCs w:val="32"/>
              </w:rPr>
              <w:t>候車亭接電系統係由電力廠商、其他相關單位(</w:t>
            </w:r>
            <w:r w:rsidR="00A45B20">
              <w:rPr>
                <w:rFonts w:ascii="標楷體" w:eastAsia="標楷體" w:hAnsi="標楷體"/>
                <w:sz w:val="32"/>
                <w:szCs w:val="32"/>
              </w:rPr>
              <w:t>台電、</w:t>
            </w:r>
            <w:r w:rsidR="00A45B20">
              <w:rPr>
                <w:rFonts w:ascii="標楷體" w:eastAsia="標楷體" w:hAnsi="標楷體" w:hint="eastAsia"/>
                <w:sz w:val="32"/>
                <w:szCs w:val="32"/>
              </w:rPr>
              <w:t>○○</w:t>
            </w:r>
            <w:r w:rsidRPr="007B03E1">
              <w:rPr>
                <w:rFonts w:ascii="標楷體" w:eastAsia="標楷體" w:hAnsi="標楷體"/>
                <w:sz w:val="32"/>
                <w:szCs w:val="32"/>
              </w:rPr>
              <w:t>處)及本處所建立，本處已定期與台電等單位確認各站位進度及召開會議解決有困難之站位，以使系統間各單位運作正常。</w:t>
            </w:r>
          </w:p>
        </w:tc>
      </w:tr>
      <w:tr w:rsidR="00A972B1" w:rsidTr="00A42F7B">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Pr="00151C09" w:rsidRDefault="00A972B1" w:rsidP="00151C09">
            <w:pPr>
              <w:pStyle w:val="ab"/>
              <w:spacing w:after="0"/>
              <w:ind w:leftChars="0" w:left="0"/>
              <w:rPr>
                <w:rFonts w:ascii="標楷體" w:eastAsia="標楷體" w:hAnsi="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C1" w:rsidRDefault="00934AC1" w:rsidP="0097495D">
      <w:pPr>
        <w:spacing w:line="240" w:lineRule="auto"/>
      </w:pPr>
      <w:r>
        <w:separator/>
      </w:r>
    </w:p>
  </w:endnote>
  <w:endnote w:type="continuationSeparator" w:id="0">
    <w:p w:rsidR="00934AC1" w:rsidRDefault="00934AC1"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9B0B19" w:rsidRPr="009B0B19">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C1" w:rsidRDefault="00934AC1" w:rsidP="0097495D">
      <w:pPr>
        <w:spacing w:line="240" w:lineRule="auto"/>
      </w:pPr>
      <w:r>
        <w:separator/>
      </w:r>
    </w:p>
  </w:footnote>
  <w:footnote w:type="continuationSeparator" w:id="0">
    <w:p w:rsidR="00934AC1" w:rsidRDefault="00934AC1"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570CF"/>
    <w:multiLevelType w:val="hybridMultilevel"/>
    <w:tmpl w:val="1966AA86"/>
    <w:lvl w:ilvl="0" w:tplc="99388D9C">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D1876E0"/>
    <w:multiLevelType w:val="hybridMultilevel"/>
    <w:tmpl w:val="67BE818E"/>
    <w:lvl w:ilvl="0" w:tplc="6EC2A6BC">
      <w:start w:val="1"/>
      <w:numFmt w:val="decimal"/>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633EA"/>
    <w:multiLevelType w:val="hybridMultilevel"/>
    <w:tmpl w:val="68727A2C"/>
    <w:lvl w:ilvl="0" w:tplc="114AB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27E9E"/>
    <w:multiLevelType w:val="hybridMultilevel"/>
    <w:tmpl w:val="A9023AFC"/>
    <w:lvl w:ilvl="0" w:tplc="9E5CAF80">
      <w:start w:val="1"/>
      <w:numFmt w:val="taiwaneseCountingThousand"/>
      <w:lvlText w:val="(%1)"/>
      <w:lvlJc w:val="left"/>
      <w:pPr>
        <w:ind w:left="480" w:hanging="480"/>
      </w:pPr>
      <w:rPr>
        <w:rFonts w:ascii="標楷體" w:eastAsia="標楷體" w:hAnsi="標楷體" w:hint="eastAsia"/>
        <w:spacing w:val="-22"/>
        <w:positio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9A1795"/>
    <w:multiLevelType w:val="multilevel"/>
    <w:tmpl w:val="C7CC79F2"/>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1">
    <w:nsid w:val="279D77F8"/>
    <w:multiLevelType w:val="hybridMultilevel"/>
    <w:tmpl w:val="9C3424E4"/>
    <w:lvl w:ilvl="0" w:tplc="3FD40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912C9"/>
    <w:multiLevelType w:val="hybridMultilevel"/>
    <w:tmpl w:val="35E636FA"/>
    <w:lvl w:ilvl="0" w:tplc="12DE35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445771"/>
    <w:multiLevelType w:val="hybridMultilevel"/>
    <w:tmpl w:val="ABCE68AC"/>
    <w:lvl w:ilvl="0" w:tplc="6A1637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8">
    <w:nsid w:val="3AB273C3"/>
    <w:multiLevelType w:val="hybridMultilevel"/>
    <w:tmpl w:val="8776437C"/>
    <w:lvl w:ilvl="0" w:tplc="C9E86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F725FB"/>
    <w:multiLevelType w:val="hybridMultilevel"/>
    <w:tmpl w:val="19424AE2"/>
    <w:lvl w:ilvl="0" w:tplc="55E003E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nsid w:val="43514809"/>
    <w:multiLevelType w:val="hybridMultilevel"/>
    <w:tmpl w:val="42C84D18"/>
    <w:lvl w:ilvl="0" w:tplc="4776E5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3">
    <w:nsid w:val="4A847684"/>
    <w:multiLevelType w:val="hybridMultilevel"/>
    <w:tmpl w:val="BCA6C9BC"/>
    <w:lvl w:ilvl="0" w:tplc="E1120E1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9432CD"/>
    <w:multiLevelType w:val="hybridMultilevel"/>
    <w:tmpl w:val="350C8550"/>
    <w:lvl w:ilvl="0" w:tplc="9CF4E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D53326"/>
    <w:multiLevelType w:val="hybridMultilevel"/>
    <w:tmpl w:val="0C06AE42"/>
    <w:lvl w:ilvl="0" w:tplc="A202D8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0C0047"/>
    <w:multiLevelType w:val="hybridMultilevel"/>
    <w:tmpl w:val="B9BE4B56"/>
    <w:lvl w:ilvl="0" w:tplc="CFA6C4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6">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B33784"/>
    <w:multiLevelType w:val="hybridMultilevel"/>
    <w:tmpl w:val="1A64BB80"/>
    <w:lvl w:ilvl="0" w:tplc="4838F190">
      <w:start w:val="1"/>
      <w:numFmt w:val="taiwaneseCountingThousand"/>
      <w:lvlText w:val="(%1)"/>
      <w:lvlJc w:val="left"/>
      <w:pPr>
        <w:ind w:left="480" w:hanging="480"/>
      </w:pPr>
      <w:rPr>
        <w:rFonts w:ascii="標楷體" w:eastAsia="標楷體" w:hAnsi="標楷體" w:hint="eastAsia"/>
        <w:spacing w:val="-22"/>
        <w:positio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30"/>
  </w:num>
  <w:num w:numId="3">
    <w:abstractNumId w:val="3"/>
  </w:num>
  <w:num w:numId="4">
    <w:abstractNumId w:val="0"/>
  </w:num>
  <w:num w:numId="5">
    <w:abstractNumId w:val="3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5"/>
  </w:num>
  <w:num w:numId="9">
    <w:abstractNumId w:val="33"/>
  </w:num>
  <w:num w:numId="10">
    <w:abstractNumId w:val="29"/>
  </w:num>
  <w:num w:numId="11">
    <w:abstractNumId w:val="15"/>
  </w:num>
  <w:num w:numId="12">
    <w:abstractNumId w:val="24"/>
  </w:num>
  <w:num w:numId="13">
    <w:abstractNumId w:val="16"/>
  </w:num>
  <w:num w:numId="14">
    <w:abstractNumId w:val="8"/>
  </w:num>
  <w:num w:numId="15">
    <w:abstractNumId w:val="26"/>
  </w:num>
  <w:num w:numId="16">
    <w:abstractNumId w:val="37"/>
  </w:num>
  <w:num w:numId="17">
    <w:abstractNumId w:val="21"/>
  </w:num>
  <w:num w:numId="18">
    <w:abstractNumId w:val="40"/>
  </w:num>
  <w:num w:numId="19">
    <w:abstractNumId w:val="14"/>
  </w:num>
  <w:num w:numId="20">
    <w:abstractNumId w:val="22"/>
  </w:num>
  <w:num w:numId="21">
    <w:abstractNumId w:val="28"/>
  </w:num>
  <w:num w:numId="22">
    <w:abstractNumId w:val="35"/>
  </w:num>
  <w:num w:numId="23">
    <w:abstractNumId w:val="9"/>
  </w:num>
  <w:num w:numId="24">
    <w:abstractNumId w:val="1"/>
  </w:num>
  <w:num w:numId="25">
    <w:abstractNumId w:val="17"/>
  </w:num>
  <w:num w:numId="26">
    <w:abstractNumId w:val="31"/>
  </w:num>
  <w:num w:numId="27">
    <w:abstractNumId w:val="19"/>
  </w:num>
  <w:num w:numId="28">
    <w:abstractNumId w:val="6"/>
  </w:num>
  <w:num w:numId="29">
    <w:abstractNumId w:val="11"/>
  </w:num>
  <w:num w:numId="30">
    <w:abstractNumId w:val="12"/>
  </w:num>
  <w:num w:numId="31">
    <w:abstractNumId w:val="39"/>
  </w:num>
  <w:num w:numId="32">
    <w:abstractNumId w:val="2"/>
  </w:num>
  <w:num w:numId="33">
    <w:abstractNumId w:val="27"/>
  </w:num>
  <w:num w:numId="34">
    <w:abstractNumId w:val="18"/>
  </w:num>
  <w:num w:numId="35">
    <w:abstractNumId w:val="7"/>
  </w:num>
  <w:num w:numId="36">
    <w:abstractNumId w:val="23"/>
  </w:num>
  <w:num w:numId="37">
    <w:abstractNumId w:val="13"/>
  </w:num>
  <w:num w:numId="38">
    <w:abstractNumId w:val="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115AA"/>
    <w:rsid w:val="00034C68"/>
    <w:rsid w:val="000437F2"/>
    <w:rsid w:val="00071DDD"/>
    <w:rsid w:val="000B09F5"/>
    <w:rsid w:val="000D60D0"/>
    <w:rsid w:val="000D6867"/>
    <w:rsid w:val="000E612D"/>
    <w:rsid w:val="000F31A9"/>
    <w:rsid w:val="00105A99"/>
    <w:rsid w:val="001250E3"/>
    <w:rsid w:val="00146B96"/>
    <w:rsid w:val="0014716F"/>
    <w:rsid w:val="00151C09"/>
    <w:rsid w:val="001A3B0A"/>
    <w:rsid w:val="001A532E"/>
    <w:rsid w:val="001C1CAF"/>
    <w:rsid w:val="001C6FE9"/>
    <w:rsid w:val="001E0BF1"/>
    <w:rsid w:val="001E66B8"/>
    <w:rsid w:val="001E6C33"/>
    <w:rsid w:val="002042A4"/>
    <w:rsid w:val="002062B3"/>
    <w:rsid w:val="002110D5"/>
    <w:rsid w:val="00231B6F"/>
    <w:rsid w:val="0024358F"/>
    <w:rsid w:val="00252F81"/>
    <w:rsid w:val="002710DB"/>
    <w:rsid w:val="00281DE8"/>
    <w:rsid w:val="002850A2"/>
    <w:rsid w:val="002B3A82"/>
    <w:rsid w:val="002B6110"/>
    <w:rsid w:val="002C1DA4"/>
    <w:rsid w:val="002C7A61"/>
    <w:rsid w:val="002E3E5F"/>
    <w:rsid w:val="002F2DB7"/>
    <w:rsid w:val="003154E3"/>
    <w:rsid w:val="0032718D"/>
    <w:rsid w:val="003562E1"/>
    <w:rsid w:val="003674AA"/>
    <w:rsid w:val="00375AC5"/>
    <w:rsid w:val="00380710"/>
    <w:rsid w:val="003B03AD"/>
    <w:rsid w:val="003C74EA"/>
    <w:rsid w:val="003F3D86"/>
    <w:rsid w:val="003F5572"/>
    <w:rsid w:val="00405E42"/>
    <w:rsid w:val="0040699E"/>
    <w:rsid w:val="004118EB"/>
    <w:rsid w:val="00413763"/>
    <w:rsid w:val="004255EE"/>
    <w:rsid w:val="00432186"/>
    <w:rsid w:val="00432EDE"/>
    <w:rsid w:val="00442D44"/>
    <w:rsid w:val="004851D9"/>
    <w:rsid w:val="004970C8"/>
    <w:rsid w:val="004A39C8"/>
    <w:rsid w:val="004A4A27"/>
    <w:rsid w:val="004D18E6"/>
    <w:rsid w:val="004E155F"/>
    <w:rsid w:val="004E1D1C"/>
    <w:rsid w:val="004F0EC6"/>
    <w:rsid w:val="004F3F65"/>
    <w:rsid w:val="005018C1"/>
    <w:rsid w:val="005151E6"/>
    <w:rsid w:val="005324A3"/>
    <w:rsid w:val="00552B1D"/>
    <w:rsid w:val="00565E3A"/>
    <w:rsid w:val="00586794"/>
    <w:rsid w:val="00587AE7"/>
    <w:rsid w:val="00591503"/>
    <w:rsid w:val="00594084"/>
    <w:rsid w:val="005B1D8D"/>
    <w:rsid w:val="006072DF"/>
    <w:rsid w:val="006120C5"/>
    <w:rsid w:val="00627F12"/>
    <w:rsid w:val="006511F7"/>
    <w:rsid w:val="006702AC"/>
    <w:rsid w:val="006C61B9"/>
    <w:rsid w:val="006D1626"/>
    <w:rsid w:val="006D3E79"/>
    <w:rsid w:val="006E2993"/>
    <w:rsid w:val="007068A1"/>
    <w:rsid w:val="00717037"/>
    <w:rsid w:val="00764642"/>
    <w:rsid w:val="00765060"/>
    <w:rsid w:val="007840A9"/>
    <w:rsid w:val="00791BA6"/>
    <w:rsid w:val="007B03E1"/>
    <w:rsid w:val="007D37E1"/>
    <w:rsid w:val="007F0D10"/>
    <w:rsid w:val="0080359D"/>
    <w:rsid w:val="008172F3"/>
    <w:rsid w:val="00823BDF"/>
    <w:rsid w:val="008630F4"/>
    <w:rsid w:val="008C1718"/>
    <w:rsid w:val="008C2579"/>
    <w:rsid w:val="008E5811"/>
    <w:rsid w:val="00906521"/>
    <w:rsid w:val="00926715"/>
    <w:rsid w:val="00934AC1"/>
    <w:rsid w:val="0094154E"/>
    <w:rsid w:val="0097495D"/>
    <w:rsid w:val="00984108"/>
    <w:rsid w:val="009A1FA1"/>
    <w:rsid w:val="009B05E5"/>
    <w:rsid w:val="009B0B19"/>
    <w:rsid w:val="009B1BD3"/>
    <w:rsid w:val="009B299A"/>
    <w:rsid w:val="009D51ED"/>
    <w:rsid w:val="009F2842"/>
    <w:rsid w:val="009F285D"/>
    <w:rsid w:val="00A1690D"/>
    <w:rsid w:val="00A3771B"/>
    <w:rsid w:val="00A42F7B"/>
    <w:rsid w:val="00A45B20"/>
    <w:rsid w:val="00A50FCD"/>
    <w:rsid w:val="00A92FCC"/>
    <w:rsid w:val="00A972B1"/>
    <w:rsid w:val="00AF153B"/>
    <w:rsid w:val="00B02155"/>
    <w:rsid w:val="00B15C97"/>
    <w:rsid w:val="00B24993"/>
    <w:rsid w:val="00B3724B"/>
    <w:rsid w:val="00B8035D"/>
    <w:rsid w:val="00B84763"/>
    <w:rsid w:val="00B97300"/>
    <w:rsid w:val="00BA38EC"/>
    <w:rsid w:val="00C13D4F"/>
    <w:rsid w:val="00C32E52"/>
    <w:rsid w:val="00C51926"/>
    <w:rsid w:val="00C62BB6"/>
    <w:rsid w:val="00C73D15"/>
    <w:rsid w:val="00C856A1"/>
    <w:rsid w:val="00CB288C"/>
    <w:rsid w:val="00CB2943"/>
    <w:rsid w:val="00CE7832"/>
    <w:rsid w:val="00CF0307"/>
    <w:rsid w:val="00CF6B88"/>
    <w:rsid w:val="00D218EC"/>
    <w:rsid w:val="00D5675E"/>
    <w:rsid w:val="00D81313"/>
    <w:rsid w:val="00D92A15"/>
    <w:rsid w:val="00DB11F1"/>
    <w:rsid w:val="00DC088B"/>
    <w:rsid w:val="00DD79E0"/>
    <w:rsid w:val="00DE2090"/>
    <w:rsid w:val="00DE2F1C"/>
    <w:rsid w:val="00E705EE"/>
    <w:rsid w:val="00EF3D03"/>
    <w:rsid w:val="00F14DCF"/>
    <w:rsid w:val="00F4122E"/>
    <w:rsid w:val="00F53132"/>
    <w:rsid w:val="00F57D60"/>
    <w:rsid w:val="00F95037"/>
    <w:rsid w:val="00F96D3E"/>
    <w:rsid w:val="00FF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34"/>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清單段落1"/>
    <w:basedOn w:val="a"/>
    <w:rsid w:val="003F3D86"/>
    <w:pPr>
      <w:spacing w:line="240" w:lineRule="auto"/>
      <w:ind w:leftChars="200" w:left="480"/>
      <w:jc w:val="left"/>
    </w:pPr>
    <w:rPr>
      <w:rFonts w:ascii="Calibri" w:hAnsi="Calibri"/>
      <w:szCs w:val="22"/>
    </w:rPr>
  </w:style>
  <w:style w:type="paragraph" w:customStyle="1" w:styleId="4">
    <w:name w:val="清單段落4"/>
    <w:basedOn w:val="a"/>
    <w:rsid w:val="003F3D86"/>
    <w:pPr>
      <w:spacing w:line="240" w:lineRule="auto"/>
      <w:ind w:leftChars="200" w:left="480"/>
      <w:jc w:val="left"/>
    </w:pPr>
    <w:rPr>
      <w:rFonts w:ascii="Calibri" w:hAnsi="Calibri"/>
      <w:szCs w:val="22"/>
    </w:rPr>
  </w:style>
  <w:style w:type="paragraph" w:customStyle="1" w:styleId="031">
    <w:name w:val="03標題1."/>
    <w:basedOn w:val="a"/>
    <w:rsid w:val="00D92A15"/>
    <w:pPr>
      <w:tabs>
        <w:tab w:val="left" w:pos="720"/>
      </w:tabs>
      <w:autoSpaceDN w:val="0"/>
      <w:spacing w:line="240" w:lineRule="auto"/>
      <w:ind w:left="100" w:hanging="100"/>
    </w:pPr>
    <w:rPr>
      <w:rFonts w:ascii="標楷體" w:eastAsia="標楷體" w:hAnsi="標楷體"/>
      <w:color w:val="000000"/>
      <w:kern w:val="3"/>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34"/>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清單段落1"/>
    <w:basedOn w:val="a"/>
    <w:rsid w:val="003F3D86"/>
    <w:pPr>
      <w:spacing w:line="240" w:lineRule="auto"/>
      <w:ind w:leftChars="200" w:left="480"/>
      <w:jc w:val="left"/>
    </w:pPr>
    <w:rPr>
      <w:rFonts w:ascii="Calibri" w:hAnsi="Calibri"/>
      <w:szCs w:val="22"/>
    </w:rPr>
  </w:style>
  <w:style w:type="paragraph" w:customStyle="1" w:styleId="4">
    <w:name w:val="清單段落4"/>
    <w:basedOn w:val="a"/>
    <w:rsid w:val="003F3D86"/>
    <w:pPr>
      <w:spacing w:line="240" w:lineRule="auto"/>
      <w:ind w:leftChars="200" w:left="480"/>
      <w:jc w:val="left"/>
    </w:pPr>
    <w:rPr>
      <w:rFonts w:ascii="Calibri" w:hAnsi="Calibri"/>
      <w:szCs w:val="22"/>
    </w:rPr>
  </w:style>
  <w:style w:type="paragraph" w:customStyle="1" w:styleId="031">
    <w:name w:val="03標題1."/>
    <w:basedOn w:val="a"/>
    <w:rsid w:val="00D92A15"/>
    <w:pPr>
      <w:tabs>
        <w:tab w:val="left" w:pos="720"/>
      </w:tabs>
      <w:autoSpaceDN w:val="0"/>
      <w:spacing w:line="240" w:lineRule="auto"/>
      <w:ind w:left="100" w:hanging="100"/>
    </w:pPr>
    <w:rPr>
      <w:rFonts w:ascii="標楷體" w:eastAsia="標楷體" w:hAnsi="標楷體"/>
      <w:color w:val="000000"/>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80BA-882C-405A-B91E-8881F845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134</Words>
  <Characters>768</Characters>
  <Application>Microsoft Office Word</Application>
  <DocSecurity>0</DocSecurity>
  <Lines>6</Lines>
  <Paragraphs>1</Paragraphs>
  <ScaleCrop>false</ScaleCrop>
  <Company>MOJ</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6</cp:revision>
  <cp:lastPrinted>2016-09-08T06:27:00Z</cp:lastPrinted>
  <dcterms:created xsi:type="dcterms:W3CDTF">2016-12-22T09:33:00Z</dcterms:created>
  <dcterms:modified xsi:type="dcterms:W3CDTF">2016-12-30T08:48:00Z</dcterms:modified>
</cp:coreProperties>
</file>